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57" w:rsidRDefault="00B638C9" w:rsidP="00B638C9">
      <w:pPr>
        <w:widowControl w:val="0"/>
        <w:autoSpaceDE w:val="0"/>
        <w:autoSpaceDN w:val="0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B638C9">
        <w:rPr>
          <w:rFonts w:ascii="Times New Roman" w:hAnsi="Times New Roman" w:cs="Times New Roman"/>
          <w:sz w:val="28"/>
          <w:szCs w:val="28"/>
        </w:rPr>
        <w:t>Диссер_</w:t>
      </w:r>
      <w:r w:rsidRPr="00B638C9">
        <w:rPr>
          <w:rFonts w:ascii="Times New Roman" w:hAnsi="Times New Roman" w:cs="Times New Roman"/>
          <w:b/>
          <w:sz w:val="28"/>
          <w:szCs w:val="28"/>
          <w:lang w:eastAsia="ko-KR"/>
        </w:rPr>
        <w:t>Обязательные виды страхования и возможности их дальнейшего развития в РК</w:t>
      </w:r>
    </w:p>
    <w:p w:rsidR="00B638C9" w:rsidRDefault="00B638C9" w:rsidP="00B638C9">
      <w:pPr>
        <w:widowControl w:val="0"/>
        <w:autoSpaceDE w:val="0"/>
        <w:autoSpaceDN w:val="0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eastAsia="ko-KR"/>
        </w:rPr>
        <w:t>Стр-97</w:t>
      </w:r>
    </w:p>
    <w:p w:rsidR="00B638C9" w:rsidRPr="00B638C9" w:rsidRDefault="00B638C9" w:rsidP="00B638C9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TOC \o "1-3" \h \z \u </w:instrText>
      </w:r>
      <w:r>
        <w:rPr>
          <w:rFonts w:cs="Times New Roman"/>
          <w:sz w:val="28"/>
          <w:szCs w:val="28"/>
        </w:rPr>
        <w:fldChar w:fldCharType="separate"/>
      </w: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5" w:anchor="_Toc450652081" w:history="1">
        <w:r>
          <w:rPr>
            <w:rStyle w:val="a3"/>
            <w:rFonts w:cs="Times New Roman"/>
            <w:b/>
            <w:noProof/>
            <w:sz w:val="28"/>
            <w:szCs w:val="28"/>
          </w:rPr>
          <w:t>ВВЕДЕНИЕ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6" w:anchor="_Toc450652082" w:history="1">
        <w:r>
          <w:rPr>
            <w:rStyle w:val="a3"/>
            <w:rFonts w:cs="Times New Roman"/>
            <w:b/>
            <w:noProof/>
            <w:sz w:val="28"/>
            <w:szCs w:val="28"/>
          </w:rPr>
          <w:t>1 ТЕОРЕТИЧЕСКИЕ, ОРГАНИЗАЦИОННЫЕ И ФИНАНСОВЫЕ АСПЕКТЫ РАЗВИТИЯ ОБЯЗАТЕЛЬНЫХ ВИДОВ СТРАХОВАНИЯ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7" w:anchor="_Toc450652083" w:history="1">
        <w:r>
          <w:rPr>
            <w:rStyle w:val="a3"/>
            <w:rFonts w:cs="Times New Roman"/>
            <w:noProof/>
            <w:sz w:val="28"/>
            <w:szCs w:val="28"/>
          </w:rPr>
          <w:t>1.1 Основные подходы к определению сущности  и роли обязательного страхования в условиях рыночной экономики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8" w:anchor="_Toc450652084" w:history="1">
        <w:r>
          <w:rPr>
            <w:rStyle w:val="a3"/>
            <w:rFonts w:cs="Times New Roman"/>
            <w:noProof/>
            <w:sz w:val="28"/>
            <w:szCs w:val="28"/>
          </w:rPr>
          <w:t>1.2 Классификация видов обязательного страхование и обоснование необходимости их государственного регулирования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9" w:anchor="_Toc450652085" w:history="1">
        <w:r>
          <w:rPr>
            <w:rStyle w:val="a3"/>
            <w:rFonts w:cs="Times New Roman"/>
            <w:noProof/>
            <w:sz w:val="28"/>
            <w:szCs w:val="28"/>
          </w:rPr>
          <w:t>1.3 Зарубежный опыт развития обязательных видов страхования и возможности его применения в условиях Казахстана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10" w:anchor="_Toc450652086" w:history="1">
        <w:r>
          <w:rPr>
            <w:rStyle w:val="a3"/>
            <w:b/>
            <w:noProof/>
            <w:sz w:val="28"/>
            <w:szCs w:val="28"/>
          </w:rPr>
          <w:t>2</w:t>
        </w:r>
        <w:r>
          <w:rPr>
            <w:rStyle w:val="a3"/>
            <w:rFonts w:cs="Times New Roman"/>
            <w:b/>
            <w:noProof/>
            <w:sz w:val="28"/>
            <w:szCs w:val="28"/>
          </w:rPr>
          <w:t xml:space="preserve"> АНАЛИЗ РАЗВИТИЯ ОБЯЗАТЕЛЬНЫХ ВИДОВ СТРАХОВАНИЯ В РЕСПУБЛИКЕ КАЗАХ</w:t>
        </w:r>
        <w:r w:rsidR="006C4198">
          <w:rPr>
            <w:rStyle w:val="a3"/>
            <w:rFonts w:cs="Times New Roman"/>
            <w:b/>
            <w:noProof/>
            <w:sz w:val="28"/>
            <w:szCs w:val="28"/>
          </w:rPr>
          <w:t xml:space="preserve">СТАН  НА ПРИМЕРЕ АО 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1" w:anchor="_Toc450652087" w:history="1">
        <w:r>
          <w:rPr>
            <w:rStyle w:val="a3"/>
            <w:rFonts w:cs="Times New Roman"/>
            <w:noProof/>
            <w:sz w:val="28"/>
            <w:szCs w:val="28"/>
          </w:rPr>
          <w:t>2.1 Оценка развития обязательных видов страхования в Республике Казахстан на современном этапе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2" w:anchor="_Toc450652088" w:history="1">
        <w:r>
          <w:rPr>
            <w:rStyle w:val="a3"/>
            <w:rFonts w:cs="Times New Roman"/>
            <w:noProof/>
            <w:sz w:val="28"/>
            <w:szCs w:val="28"/>
          </w:rPr>
          <w:t>2.2 Анализ деятельности АО по обязательным видам страхования в Казахстане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3" w:anchor="_Toc450652089" w:history="1">
        <w:r>
          <w:rPr>
            <w:rStyle w:val="a3"/>
            <w:rFonts w:cs="Times New Roman"/>
            <w:noProof/>
            <w:sz w:val="28"/>
            <w:szCs w:val="28"/>
          </w:rPr>
          <w:t>2.3 Оценка государственного регуляторного влияния на состояние отрасли обязательного страхования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14" w:anchor="_Toc450652090" w:history="1">
        <w:r>
          <w:rPr>
            <w:rStyle w:val="a3"/>
            <w:rFonts w:cs="Times New Roman"/>
            <w:b/>
            <w:noProof/>
            <w:sz w:val="28"/>
            <w:szCs w:val="28"/>
          </w:rPr>
          <w:t>3 РАЗРАБОТКА РЕКОМЕНДАЦИЙ ПО РАЗВИТИЮ ОБЯЗАТЕЛЬНЫХ ВИДОВ СТРАХОВАНИЯ В РЕСПУБЛИКЕ КАЗАХСТАН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5" w:anchor="_Toc450652091" w:history="1">
        <w:r>
          <w:rPr>
            <w:rStyle w:val="a3"/>
            <w:rFonts w:cs="Times New Roman"/>
            <w:noProof/>
            <w:sz w:val="28"/>
            <w:szCs w:val="28"/>
          </w:rPr>
          <w:t>3.1 Формирование критериев целесообразности внедрения обязательных видов страхования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6" w:anchor="_Toc450652092" w:history="1">
        <w:r>
          <w:rPr>
            <w:rStyle w:val="a3"/>
            <w:rFonts w:cs="Times New Roman"/>
            <w:noProof/>
            <w:sz w:val="28"/>
            <w:szCs w:val="28"/>
          </w:rPr>
          <w:t>3.2 Совершенствование методических подходов к государственному регулированию обязательных видов страхования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r:id="rId17" w:anchor="_Toc450652093" w:history="1">
        <w:r>
          <w:rPr>
            <w:rStyle w:val="a3"/>
            <w:rFonts w:cs="Times New Roman"/>
            <w:noProof/>
            <w:sz w:val="28"/>
            <w:szCs w:val="28"/>
          </w:rPr>
          <w:t>3.3 Обоснование целесообразности государственно-частного партнерства в области обязательного страхования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18" w:anchor="_Toc450652094" w:history="1">
        <w:r>
          <w:rPr>
            <w:rStyle w:val="a3"/>
            <w:rFonts w:cs="Times New Roman"/>
            <w:b/>
            <w:noProof/>
            <w:sz w:val="28"/>
            <w:szCs w:val="28"/>
          </w:rPr>
          <w:t>ЗАКЛЮЧЕНИЕ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19" w:anchor="_Toc450652095" w:history="1">
        <w:r>
          <w:rPr>
            <w:rStyle w:val="a3"/>
            <w:rFonts w:cs="Times New Roman"/>
            <w:b/>
            <w:noProof/>
            <w:sz w:val="28"/>
            <w:szCs w:val="28"/>
          </w:rPr>
          <w:t>СПИСОК ИСПОЛЬЗОВАННЫХ ИСТОЧНИКОВ</w:t>
        </w:r>
      </w:hyperlink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Style w:val="a3"/>
        </w:rPr>
      </w:pPr>
    </w:p>
    <w:p w:rsidR="00B638C9" w:rsidRDefault="00B638C9" w:rsidP="00B638C9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lang w:eastAsia="ru-RU"/>
        </w:rPr>
      </w:pPr>
      <w:hyperlink r:id="rId20" w:anchor="_Toc450652096" w:history="1"/>
    </w:p>
    <w:p w:rsidR="006C4198" w:rsidRDefault="00B638C9" w:rsidP="00B638C9">
      <w:pPr>
        <w:widowControl w:val="0"/>
        <w:autoSpaceDE w:val="0"/>
        <w:autoSpaceDN w:val="0"/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</w:p>
    <w:p w:rsidR="006C4198" w:rsidRDefault="006C41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C4198" w:rsidRPr="006C4198" w:rsidRDefault="006C4198" w:rsidP="006C419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50652094"/>
      <w:r w:rsidRPr="006C41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6C4198" w:rsidRPr="006C4198" w:rsidRDefault="006C4198" w:rsidP="006C4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198" w:rsidRPr="006C4198" w:rsidRDefault="006C4198" w:rsidP="006C4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>Научные и практические результаты выполненного исследования в совокупности решают важное научно-практическое задание по обоснованию и разработке теоретических положений, методических подходов и практических рекомендаций по совершенствованию обязательных видов страхования в Казахстане.</w:t>
      </w:r>
    </w:p>
    <w:p w:rsidR="006C4198" w:rsidRPr="006C4198" w:rsidRDefault="006C4198" w:rsidP="006C4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>Полученные научные результаты позволяют сделать следующие выводы:</w:t>
      </w:r>
    </w:p>
    <w:p w:rsidR="006C4198" w:rsidRDefault="006C4198" w:rsidP="006C4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 xml:space="preserve">1. Анализ работ отечественных и зарубежных ученых позволил выяснить экономическую сущность обязательного страхования, заключающуюся в особенности его положения относительно других видов страхования как фактор общегосударственного значения, а также в необходимости обеспечения защиты имущественных интересов физических и юридических лиц путем широкого охвата важнейших для общества рисков наступления случайных событий, которые могут привести к потерям. </w:t>
      </w:r>
    </w:p>
    <w:p w:rsidR="006C4198" w:rsidRDefault="006C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4198" w:rsidRPr="006C4198" w:rsidRDefault="006C4198" w:rsidP="006C4198">
      <w:pPr>
        <w:pStyle w:val="1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50652095"/>
      <w:r w:rsidRPr="006C41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6C4198" w:rsidRPr="006C4198" w:rsidRDefault="006C4198" w:rsidP="006C41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98" w:rsidRPr="006C4198" w:rsidRDefault="006C4198" w:rsidP="006C4198">
      <w:pPr>
        <w:widowControl w:val="0"/>
        <w:numPr>
          <w:ilvl w:val="0"/>
          <w:numId w:val="1"/>
        </w:numPr>
        <w:tabs>
          <w:tab w:val="left" w:pos="0"/>
          <w:tab w:val="left" w:pos="540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>Закон Республики Казахстан от 18 декабря 2000 года № 126-II «О страховой деятельности» (с изменениями и дополнениями по состоянию на 24.11.2015 г.)</w:t>
      </w:r>
    </w:p>
    <w:p w:rsidR="006C4198" w:rsidRPr="006C4198" w:rsidRDefault="006C4198" w:rsidP="006C4198">
      <w:pPr>
        <w:widowControl w:val="0"/>
        <w:numPr>
          <w:ilvl w:val="0"/>
          <w:numId w:val="1"/>
        </w:numPr>
        <w:tabs>
          <w:tab w:val="left" w:pos="0"/>
          <w:tab w:val="left" w:pos="540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198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 Л.А. Финансы. Денежное обращение. Кредит [Текст]: учебник / Л.А.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 – М.: Финансы, ЮНИТИ, 2011, 284 с.</w:t>
      </w:r>
    </w:p>
    <w:p w:rsidR="006C4198" w:rsidRPr="006C4198" w:rsidRDefault="006C4198" w:rsidP="006C4198">
      <w:pPr>
        <w:widowControl w:val="0"/>
        <w:numPr>
          <w:ilvl w:val="0"/>
          <w:numId w:val="1"/>
        </w:numPr>
        <w:tabs>
          <w:tab w:val="left" w:pos="0"/>
          <w:tab w:val="left" w:pos="540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 xml:space="preserve">Страхование: Учебное пособие / Ю.А.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Сплетухов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, Е.Ф.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Дюжиков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. - 2-e изд.,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C4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198">
        <w:rPr>
          <w:rFonts w:ascii="Times New Roman" w:hAnsi="Times New Roman" w:cs="Times New Roman"/>
          <w:sz w:val="28"/>
          <w:szCs w:val="28"/>
        </w:rPr>
        <w:t xml:space="preserve"> и доп. - М.: Гриф, 2015. – 357 с.</w:t>
      </w:r>
    </w:p>
    <w:p w:rsidR="006C4198" w:rsidRPr="006C4198" w:rsidRDefault="006C4198" w:rsidP="006C4198">
      <w:pPr>
        <w:widowControl w:val="0"/>
        <w:numPr>
          <w:ilvl w:val="0"/>
          <w:numId w:val="1"/>
        </w:numPr>
        <w:tabs>
          <w:tab w:val="left" w:pos="0"/>
          <w:tab w:val="left" w:pos="540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 xml:space="preserve">Салихова А.Р.,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Ульданова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 Д.Р. Финансовые рынки и посредники: учебное пособие для студентов экономических специальностей/ А.Р. Салихова. – Павлодар: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Кереку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>, 2011. – 160с.</w:t>
      </w:r>
    </w:p>
    <w:p w:rsidR="006C4198" w:rsidRPr="006C4198" w:rsidRDefault="006C4198" w:rsidP="006C4198">
      <w:pPr>
        <w:widowControl w:val="0"/>
        <w:numPr>
          <w:ilvl w:val="0"/>
          <w:numId w:val="1"/>
        </w:numPr>
        <w:tabs>
          <w:tab w:val="left" w:pos="0"/>
          <w:tab w:val="left" w:pos="540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98">
        <w:rPr>
          <w:rFonts w:ascii="Times New Roman" w:hAnsi="Times New Roman" w:cs="Times New Roman"/>
          <w:sz w:val="28"/>
          <w:szCs w:val="28"/>
        </w:rPr>
        <w:t>Страхование: учебник // под ред. В</w:t>
      </w:r>
      <w:bookmarkStart w:id="2" w:name="_GoBack"/>
      <w:bookmarkEnd w:id="2"/>
      <w:r w:rsidRPr="006C419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Шапхова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 xml:space="preserve">, Ю.Т. Ахвледиани. — М.: </w:t>
      </w:r>
      <w:proofErr w:type="spellStart"/>
      <w:r w:rsidRPr="006C419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C4198">
        <w:rPr>
          <w:rFonts w:ascii="Times New Roman" w:hAnsi="Times New Roman" w:cs="Times New Roman"/>
          <w:sz w:val="28"/>
          <w:szCs w:val="28"/>
        </w:rPr>
        <w:t>-Дана, 2012. - 510 с.</w:t>
      </w:r>
    </w:p>
    <w:p w:rsidR="006C4198" w:rsidRPr="006C4198" w:rsidRDefault="006C4198" w:rsidP="006C41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C9" w:rsidRPr="00B638C9" w:rsidRDefault="00B638C9" w:rsidP="00B638C9">
      <w:pPr>
        <w:widowControl w:val="0"/>
        <w:autoSpaceDE w:val="0"/>
        <w:autoSpaceDN w:val="0"/>
        <w:ind w:firstLine="425"/>
        <w:rPr>
          <w:rFonts w:ascii="Times New Roman" w:hAnsi="Times New Roman" w:cs="Times New Roman"/>
          <w:caps/>
          <w:sz w:val="28"/>
          <w:szCs w:val="28"/>
        </w:rPr>
      </w:pPr>
    </w:p>
    <w:sectPr w:rsidR="00B638C9" w:rsidRPr="00B6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87C71"/>
    <w:multiLevelType w:val="hybridMultilevel"/>
    <w:tmpl w:val="3CB8DC64"/>
    <w:lvl w:ilvl="0" w:tplc="8646B2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E6"/>
    <w:rsid w:val="006C4198"/>
    <w:rsid w:val="00B638C9"/>
    <w:rsid w:val="00E25CE6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31D5"/>
  <w15:chartTrackingRefBased/>
  <w15:docId w15:val="{47A6DD56-CE58-4829-899F-3D6463BF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19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8C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638C9"/>
    <w:pPr>
      <w:spacing w:after="100" w:line="256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C4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3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8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2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7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20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1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5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5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0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9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14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-&#1054;&#1073;&#1103;&#1079;&#1072;&#1090;&#1077;&#1083;&#1100;&#1085;&#1099;&#1077;%20&#1074;&#1080;&#1076;&#1099;%20&#1089;&#1090;&#1088;&#1072;&#1093;&#1086;&#1074;&#1072;&#1085;&#1080;&#1103;\81%20%25&#1044;&#1080;&#1089;&#1089;&#1077;&#1088;-&#1054;&#1073;&#1103;&#1079;&#1072;&#1090;&#1077;&#1083;&#1100;&#1085;&#1099;&#1077;%20&#1074;&#1080;&#1076;&#1099;%20&#1089;&#1090;&#1088;&#1072;&#1093;&#1086;&#1074;&#1072;&#1085;&#1080;&#110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2017-04-19T08:03:00Z</dcterms:created>
  <dcterms:modified xsi:type="dcterms:W3CDTF">2017-04-19T09:13:00Z</dcterms:modified>
</cp:coreProperties>
</file>