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F47F35" w:rsidP="00F47F35">
      <w:pPr>
        <w:jc w:val="center"/>
        <w:rPr>
          <w:rFonts w:ascii="Times New Roman" w:hAnsi="Times New Roman"/>
          <w:b/>
          <w:sz w:val="24"/>
          <w:szCs w:val="20"/>
        </w:rPr>
      </w:pPr>
      <w:r w:rsidRPr="00F47F35">
        <w:rPr>
          <w:rFonts w:ascii="Times New Roman" w:hAnsi="Times New Roman"/>
          <w:b/>
          <w:bCs/>
          <w:sz w:val="24"/>
          <w:szCs w:val="20"/>
        </w:rPr>
        <w:t>Налог на добавленную стоимость: механизм функционирования, проблемы и пути совершенствования в Республике Казахстан</w:t>
      </w:r>
    </w:p>
    <w:p w:rsidR="00F47F35" w:rsidRDefault="00F47F35" w:rsidP="00F47F35">
      <w:pPr>
        <w:jc w:val="center"/>
        <w:rPr>
          <w:rFonts w:ascii="Times New Roman" w:hAnsi="Times New Roman"/>
          <w:b/>
          <w:sz w:val="24"/>
          <w:szCs w:val="20"/>
        </w:rPr>
      </w:pPr>
      <w:r>
        <w:rPr>
          <w:rFonts w:ascii="Times New Roman" w:hAnsi="Times New Roman"/>
          <w:b/>
          <w:sz w:val="24"/>
          <w:szCs w:val="20"/>
        </w:rPr>
        <w:t>СТР-42</w:t>
      </w:r>
    </w:p>
    <w:sdt>
      <w:sdtPr>
        <w:rPr>
          <w:sz w:val="28"/>
        </w:rPr>
        <w:id w:val="7322935"/>
        <w:docPartObj>
          <w:docPartGallery w:val="Table of Contents"/>
          <w:docPartUnique/>
        </w:docPartObj>
      </w:sdtPr>
      <w:sdtEndPr>
        <w:rPr>
          <w:rFonts w:ascii="Times New Roman" w:hAnsi="Times New Roman" w:cs="Times New Roman"/>
          <w:sz w:val="24"/>
        </w:rPr>
      </w:sdtEndPr>
      <w:sdtContent>
        <w:p w:rsidR="00F47F35" w:rsidRPr="00F47F35" w:rsidRDefault="00F47F35" w:rsidP="00F47F35">
          <w:pPr>
            <w:rPr>
              <w:sz w:val="28"/>
            </w:rPr>
          </w:pPr>
        </w:p>
        <w:p w:rsidR="00F47F35" w:rsidRPr="00F47F35" w:rsidRDefault="00F47F35" w:rsidP="00F47F35">
          <w:pPr>
            <w:rPr>
              <w:rFonts w:ascii="Times New Roman" w:hAnsi="Times New Roman" w:cs="Times New Roman"/>
              <w:sz w:val="24"/>
            </w:rPr>
          </w:pPr>
          <w:r w:rsidRPr="00F47F35">
            <w:rPr>
              <w:rFonts w:ascii="Times New Roman" w:hAnsi="Times New Roman" w:cs="Times New Roman"/>
              <w:sz w:val="24"/>
            </w:rPr>
            <w:fldChar w:fldCharType="begin"/>
          </w:r>
          <w:r w:rsidRPr="00F47F35">
            <w:rPr>
              <w:rFonts w:ascii="Times New Roman" w:hAnsi="Times New Roman" w:cs="Times New Roman"/>
              <w:sz w:val="24"/>
            </w:rPr>
            <w:instrText xml:space="preserve"> TOC \o "1-3" \h \z \u </w:instrText>
          </w:r>
          <w:r w:rsidRPr="00F47F35">
            <w:rPr>
              <w:rFonts w:ascii="Times New Roman" w:hAnsi="Times New Roman" w:cs="Times New Roman"/>
              <w:sz w:val="24"/>
            </w:rPr>
            <w:fldChar w:fldCharType="separate"/>
          </w:r>
          <w:hyperlink w:anchor="_Toc452038786" w:history="1">
            <w:r w:rsidRPr="00F47F35">
              <w:rPr>
                <w:rStyle w:val="a3"/>
                <w:rFonts w:ascii="Times New Roman" w:hAnsi="Times New Roman" w:cs="Times New Roman"/>
                <w:sz w:val="24"/>
              </w:rPr>
              <w:t>Введение</w:t>
            </w:r>
            <w:r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87" w:history="1">
            <w:r w:rsidR="00F47F35" w:rsidRPr="00F47F35">
              <w:rPr>
                <w:rStyle w:val="a3"/>
                <w:rFonts w:ascii="Times New Roman" w:hAnsi="Times New Roman" w:cs="Times New Roman"/>
                <w:sz w:val="24"/>
              </w:rPr>
              <w:t>1 Обзор литературы</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88" w:history="1">
            <w:r w:rsidR="00F47F35" w:rsidRPr="00F47F35">
              <w:rPr>
                <w:rStyle w:val="a3"/>
                <w:rFonts w:ascii="Times New Roman" w:hAnsi="Times New Roman" w:cs="Times New Roman"/>
                <w:sz w:val="24"/>
              </w:rPr>
              <w:t>Вывод А</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89" w:history="1">
            <w:r w:rsidR="00F47F35" w:rsidRPr="00F47F35">
              <w:rPr>
                <w:rStyle w:val="a3"/>
                <w:rFonts w:ascii="Times New Roman" w:hAnsi="Times New Roman" w:cs="Times New Roman"/>
                <w:sz w:val="24"/>
              </w:rPr>
              <w:t>2 Анализ современного состояния налога на добавленную стоимость в Республике Казахстан за 2013-2015 годы</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0" w:history="1">
            <w:r w:rsidR="00F47F35" w:rsidRPr="00F47F35">
              <w:rPr>
                <w:rStyle w:val="a3"/>
                <w:rFonts w:ascii="Times New Roman" w:hAnsi="Times New Roman" w:cs="Times New Roman"/>
                <w:sz w:val="24"/>
              </w:rPr>
              <w:t>2.1 Анализ динамики поступлений НДС в республиканском бюджете РК</w:t>
            </w:r>
          </w:hyperlink>
        </w:p>
        <w:p w:rsidR="00F47F35" w:rsidRPr="00F47F35" w:rsidRDefault="001E65E5" w:rsidP="00F47F35">
          <w:pPr>
            <w:rPr>
              <w:rFonts w:ascii="Times New Roman" w:hAnsi="Times New Roman" w:cs="Times New Roman"/>
              <w:sz w:val="24"/>
            </w:rPr>
          </w:pPr>
          <w:hyperlink w:anchor="_Toc452038791" w:history="1">
            <w:r w:rsidR="00F47F35" w:rsidRPr="00F47F35">
              <w:rPr>
                <w:rStyle w:val="a3"/>
                <w:rFonts w:ascii="Times New Roman" w:hAnsi="Times New Roman" w:cs="Times New Roman"/>
                <w:sz w:val="24"/>
              </w:rPr>
              <w:t>2.2 Организационно-экономическая характеристика АЗС "" и СК "</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2" w:history="1">
            <w:r w:rsidR="00F47F35" w:rsidRPr="00F47F35">
              <w:rPr>
                <w:rStyle w:val="a3"/>
                <w:rFonts w:ascii="Times New Roman" w:hAnsi="Times New Roman" w:cs="Times New Roman"/>
                <w:sz w:val="24"/>
              </w:rPr>
              <w:t>2.3 Оценка механизма исчисления и взимания НДС на предприятии АЗС "" и АО СК ""</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3" w:history="1">
            <w:r w:rsidR="00F47F35" w:rsidRPr="00F47F35">
              <w:rPr>
                <w:rStyle w:val="a3"/>
                <w:rFonts w:ascii="Times New Roman" w:hAnsi="Times New Roman" w:cs="Times New Roman"/>
                <w:sz w:val="24"/>
              </w:rPr>
              <w:t>Вывод Б</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4" w:history="1">
            <w:r w:rsidR="00F47F35" w:rsidRPr="00F47F35">
              <w:rPr>
                <w:rStyle w:val="a3"/>
                <w:rFonts w:ascii="Times New Roman" w:hAnsi="Times New Roman" w:cs="Times New Roman"/>
                <w:sz w:val="24"/>
              </w:rPr>
              <w:t>3 Проблемы и пути совершенствования функционирования НДС в РК</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5" w:history="1">
            <w:r w:rsidR="00F47F35" w:rsidRPr="00F47F35">
              <w:rPr>
                <w:rStyle w:val="a3"/>
                <w:rFonts w:ascii="Times New Roman" w:hAnsi="Times New Roman" w:cs="Times New Roman"/>
                <w:sz w:val="24"/>
              </w:rPr>
              <w:t>3.1 Проблемы практики налогообложения НДС в РК</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6" w:history="1">
            <w:r w:rsidR="00F47F35" w:rsidRPr="00F47F35">
              <w:rPr>
                <w:rStyle w:val="a3"/>
                <w:rFonts w:ascii="Times New Roman" w:hAnsi="Times New Roman" w:cs="Times New Roman"/>
                <w:sz w:val="24"/>
              </w:rPr>
              <w:t>3.2 Налог с продаж как способ пополнения государственного бюджета РК основанный на опыте зарубежных государств</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7" w:history="1">
            <w:r w:rsidR="00F47F35" w:rsidRPr="00F47F35">
              <w:rPr>
                <w:rStyle w:val="a3"/>
                <w:rFonts w:ascii="Times New Roman" w:hAnsi="Times New Roman" w:cs="Times New Roman"/>
                <w:sz w:val="24"/>
              </w:rPr>
              <w:t>Вывод В</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8" w:history="1">
            <w:r w:rsidR="00F47F35" w:rsidRPr="00F47F35">
              <w:rPr>
                <w:rStyle w:val="a3"/>
                <w:rFonts w:ascii="Times New Roman" w:hAnsi="Times New Roman" w:cs="Times New Roman"/>
                <w:sz w:val="24"/>
              </w:rPr>
              <w:t>Заключение</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799" w:history="1">
            <w:r w:rsidR="00F47F35" w:rsidRPr="00F47F35">
              <w:rPr>
                <w:rStyle w:val="a3"/>
                <w:rFonts w:ascii="Times New Roman" w:hAnsi="Times New Roman" w:cs="Times New Roman"/>
                <w:sz w:val="24"/>
              </w:rPr>
              <w:t>Список использованных источников</w:t>
            </w:r>
            <w:r w:rsidR="00F47F35" w:rsidRPr="00F47F35">
              <w:rPr>
                <w:rStyle w:val="a3"/>
                <w:rFonts w:ascii="Times New Roman" w:hAnsi="Times New Roman" w:cs="Times New Roman"/>
                <w:webHidden/>
                <w:sz w:val="24"/>
              </w:rPr>
              <w:tab/>
            </w:r>
          </w:hyperlink>
        </w:p>
        <w:p w:rsidR="00F47F35" w:rsidRPr="00F47F35" w:rsidRDefault="001E65E5" w:rsidP="00F47F35">
          <w:pPr>
            <w:rPr>
              <w:rFonts w:ascii="Times New Roman" w:hAnsi="Times New Roman" w:cs="Times New Roman"/>
              <w:sz w:val="24"/>
            </w:rPr>
          </w:pPr>
          <w:hyperlink w:anchor="_Toc452038800" w:history="1">
            <w:r w:rsidR="00F47F35" w:rsidRPr="00F47F35">
              <w:rPr>
                <w:rStyle w:val="a3"/>
                <w:rFonts w:ascii="Times New Roman" w:hAnsi="Times New Roman" w:cs="Times New Roman"/>
                <w:sz w:val="24"/>
              </w:rPr>
              <w:t>Приложения</w:t>
            </w:r>
            <w:r w:rsidR="00F47F35" w:rsidRPr="00F47F35">
              <w:rPr>
                <w:rStyle w:val="a3"/>
                <w:rFonts w:ascii="Times New Roman" w:hAnsi="Times New Roman" w:cs="Times New Roman"/>
                <w:webHidden/>
                <w:sz w:val="24"/>
              </w:rPr>
              <w:tab/>
            </w:r>
          </w:hyperlink>
        </w:p>
        <w:p w:rsidR="00F47F35" w:rsidRPr="00F47F35" w:rsidRDefault="00F47F35" w:rsidP="00F47F35">
          <w:pPr>
            <w:rPr>
              <w:rFonts w:ascii="Times New Roman" w:hAnsi="Times New Roman" w:cs="Times New Roman"/>
              <w:sz w:val="24"/>
            </w:rPr>
          </w:pPr>
          <w:r w:rsidRPr="00F47F35">
            <w:rPr>
              <w:rFonts w:ascii="Times New Roman" w:hAnsi="Times New Roman" w:cs="Times New Roman"/>
              <w:sz w:val="24"/>
            </w:rPr>
            <w:fldChar w:fldCharType="end"/>
          </w:r>
        </w:p>
      </w:sdtContent>
    </w:sdt>
    <w:p w:rsidR="00F47F35" w:rsidRDefault="00F47F35">
      <w:pPr>
        <w:rPr>
          <w:sz w:val="28"/>
        </w:rPr>
      </w:pPr>
      <w:r>
        <w:rPr>
          <w:sz w:val="28"/>
        </w:rPr>
        <w:br w:type="page"/>
      </w:r>
    </w:p>
    <w:p w:rsidR="00F47F35" w:rsidRPr="00F47F35" w:rsidRDefault="00F47F35" w:rsidP="00F47F35">
      <w:pPr>
        <w:pStyle w:val="1"/>
        <w:widowControl w:val="0"/>
        <w:spacing w:before="0" w:line="240" w:lineRule="exact"/>
        <w:ind w:firstLine="284"/>
        <w:jc w:val="center"/>
        <w:rPr>
          <w:rFonts w:ascii="Times New Roman" w:hAnsi="Times New Roman" w:cs="Times New Roman"/>
          <w:color w:val="auto"/>
          <w:sz w:val="24"/>
          <w:szCs w:val="20"/>
        </w:rPr>
      </w:pPr>
      <w:bookmarkStart w:id="0" w:name="_Toc452038798"/>
      <w:r w:rsidRPr="00F47F35">
        <w:rPr>
          <w:rFonts w:ascii="Times New Roman" w:hAnsi="Times New Roman" w:cs="Times New Roman"/>
          <w:color w:val="auto"/>
          <w:sz w:val="24"/>
          <w:szCs w:val="20"/>
        </w:rPr>
        <w:lastRenderedPageBreak/>
        <w:t>Заключение</w:t>
      </w:r>
      <w:bookmarkEnd w:id="0"/>
    </w:p>
    <w:p w:rsidR="00F47F35" w:rsidRPr="00F47F35" w:rsidRDefault="00F47F35" w:rsidP="00F47F35">
      <w:pPr>
        <w:pStyle w:val="a4"/>
        <w:widowControl w:val="0"/>
        <w:spacing w:before="0" w:beforeAutospacing="0" w:after="0" w:afterAutospacing="0" w:line="240" w:lineRule="exact"/>
        <w:ind w:firstLine="284"/>
        <w:jc w:val="both"/>
        <w:rPr>
          <w:szCs w:val="20"/>
        </w:rPr>
      </w:pPr>
    </w:p>
    <w:p w:rsidR="00F47F35" w:rsidRPr="00F47F35" w:rsidRDefault="00F47F35" w:rsidP="00F47F35">
      <w:pPr>
        <w:widowControl w:val="0"/>
        <w:spacing w:after="0" w:line="240" w:lineRule="exact"/>
        <w:ind w:firstLine="284"/>
        <w:jc w:val="both"/>
        <w:rPr>
          <w:rFonts w:ascii="Times New Roman" w:hAnsi="Times New Roman"/>
          <w:sz w:val="24"/>
          <w:szCs w:val="20"/>
        </w:rPr>
      </w:pPr>
      <w:r w:rsidRPr="00F47F35">
        <w:rPr>
          <w:rFonts w:ascii="Times New Roman" w:hAnsi="Times New Roman"/>
          <w:sz w:val="24"/>
          <w:szCs w:val="20"/>
        </w:rPr>
        <w:t>Косвенные налоги, к ним относятся НДС, играют значительную роль в формировании доходов бюджета. Однако это не значит, что они не выполняют регулирующей функции. При умелом использовании косвенные налоги могут быть действенным финансовым инструментом регулирования экономики. Что касается НДС, то он более эффективен в фискальном аспекте, благодаря широкой базе налогообложения, количества плательщиков и количества операций, облагаемых.</w:t>
      </w:r>
    </w:p>
    <w:p w:rsidR="00F47F35" w:rsidRPr="00F47F35" w:rsidRDefault="00F47F35" w:rsidP="00F47F35">
      <w:pPr>
        <w:widowControl w:val="0"/>
        <w:spacing w:after="0" w:line="240" w:lineRule="exact"/>
        <w:ind w:firstLine="284"/>
        <w:jc w:val="both"/>
        <w:rPr>
          <w:rFonts w:ascii="Times New Roman" w:hAnsi="Times New Roman"/>
          <w:sz w:val="24"/>
          <w:szCs w:val="20"/>
        </w:rPr>
      </w:pPr>
      <w:r w:rsidRPr="00F47F35">
        <w:rPr>
          <w:rFonts w:ascii="Times New Roman" w:hAnsi="Times New Roman"/>
          <w:sz w:val="24"/>
          <w:szCs w:val="20"/>
        </w:rPr>
        <w:t>При рассмотрении роли НДС в формировании бюджетной системы Республики Казахстан необходимо рассмотреть его положительные стороны, которые заключены в следующем:</w:t>
      </w:r>
    </w:p>
    <w:p w:rsidR="00F47F35" w:rsidRPr="00F47F35" w:rsidRDefault="00F47F35" w:rsidP="00F47F35">
      <w:pPr>
        <w:widowControl w:val="0"/>
        <w:spacing w:after="0" w:line="240" w:lineRule="exact"/>
        <w:ind w:firstLine="284"/>
        <w:jc w:val="both"/>
        <w:rPr>
          <w:rFonts w:ascii="Times New Roman" w:hAnsi="Times New Roman"/>
          <w:sz w:val="24"/>
          <w:szCs w:val="20"/>
        </w:rPr>
      </w:pPr>
      <w:r w:rsidRPr="00F47F35">
        <w:rPr>
          <w:rFonts w:ascii="Times New Roman" w:hAnsi="Times New Roman"/>
          <w:sz w:val="24"/>
          <w:szCs w:val="20"/>
        </w:rPr>
        <w:t>- НДС значительно увеличивает доход государств. Обширная база налогообложения дает потенциал с помощью незначительного повышения ставки существенно повысить уровень поступлений в бюджет;</w:t>
      </w:r>
    </w:p>
    <w:p w:rsidR="00F47F35" w:rsidRPr="00F47F35" w:rsidRDefault="00F47F35" w:rsidP="00F47F35">
      <w:pPr>
        <w:widowControl w:val="0"/>
        <w:spacing w:after="0" w:line="240" w:lineRule="exact"/>
        <w:ind w:firstLine="284"/>
        <w:jc w:val="both"/>
        <w:rPr>
          <w:rFonts w:ascii="Times New Roman" w:hAnsi="Times New Roman"/>
          <w:sz w:val="24"/>
          <w:szCs w:val="20"/>
        </w:rPr>
      </w:pPr>
      <w:r w:rsidRPr="00F47F35">
        <w:rPr>
          <w:rFonts w:ascii="Times New Roman" w:hAnsi="Times New Roman"/>
          <w:sz w:val="24"/>
          <w:szCs w:val="20"/>
        </w:rPr>
        <w:t>- НДС обеспечивает равный фактический уровень налогообложения видов и отраслей экономической деятельности субъектов без влияния на них затрат на материал и труд, а также вне зависимости от размеров предприятия и т.д.;</w:t>
      </w:r>
    </w:p>
    <w:p w:rsidR="00F47F35" w:rsidRDefault="00F47F35">
      <w:pPr>
        <w:rPr>
          <w:sz w:val="36"/>
        </w:rPr>
      </w:pPr>
      <w:r>
        <w:rPr>
          <w:sz w:val="36"/>
        </w:rPr>
        <w:br w:type="page"/>
      </w:r>
    </w:p>
    <w:p w:rsidR="00F47F35" w:rsidRPr="00F47F35" w:rsidRDefault="00F47F35" w:rsidP="00F47F35">
      <w:pPr>
        <w:pStyle w:val="1"/>
        <w:spacing w:before="0" w:line="240" w:lineRule="exact"/>
        <w:jc w:val="center"/>
        <w:rPr>
          <w:rFonts w:ascii="Times New Roman" w:hAnsi="Times New Roman" w:cs="Times New Roman"/>
          <w:color w:val="auto"/>
          <w:sz w:val="24"/>
          <w:szCs w:val="20"/>
        </w:rPr>
      </w:pPr>
      <w:bookmarkStart w:id="1" w:name="_Toc452038799"/>
      <w:r w:rsidRPr="00F47F35">
        <w:rPr>
          <w:rFonts w:ascii="Times New Roman" w:hAnsi="Times New Roman" w:cs="Times New Roman"/>
          <w:color w:val="auto"/>
          <w:sz w:val="24"/>
          <w:szCs w:val="20"/>
        </w:rPr>
        <w:lastRenderedPageBreak/>
        <w:t>Список использованных источников</w:t>
      </w:r>
      <w:bookmarkEnd w:id="1"/>
    </w:p>
    <w:p w:rsidR="00F47F35" w:rsidRPr="00F47F35" w:rsidRDefault="00F47F35" w:rsidP="00F47F35">
      <w:pPr>
        <w:spacing w:after="0" w:line="240" w:lineRule="exact"/>
        <w:ind w:firstLine="567"/>
        <w:jc w:val="both"/>
        <w:rPr>
          <w:rFonts w:ascii="Times New Roman" w:hAnsi="Times New Roman"/>
          <w:sz w:val="24"/>
          <w:szCs w:val="20"/>
        </w:rPr>
      </w:pPr>
    </w:p>
    <w:p w:rsidR="00F47F35" w:rsidRPr="00F47F35" w:rsidRDefault="00F47F35" w:rsidP="00F47F35">
      <w:pPr>
        <w:spacing w:after="0" w:line="240" w:lineRule="exact"/>
        <w:ind w:firstLine="567"/>
        <w:jc w:val="both"/>
        <w:rPr>
          <w:rFonts w:ascii="Times New Roman" w:hAnsi="Times New Roman"/>
          <w:sz w:val="24"/>
          <w:szCs w:val="20"/>
        </w:rPr>
      </w:pPr>
      <w:bookmarkStart w:id="2" w:name="_GoBack"/>
      <w:r w:rsidRPr="00F47F35">
        <w:rPr>
          <w:rFonts w:ascii="Times New Roman" w:hAnsi="Times New Roman"/>
          <w:sz w:val="24"/>
          <w:szCs w:val="20"/>
        </w:rPr>
        <w:t xml:space="preserve">1 </w:t>
      </w:r>
      <w:proofErr w:type="spellStart"/>
      <w:r w:rsidRPr="00F47F35">
        <w:rPr>
          <w:rFonts w:ascii="Times New Roman" w:hAnsi="Times New Roman"/>
          <w:sz w:val="24"/>
          <w:szCs w:val="20"/>
        </w:rPr>
        <w:t>Ушак</w:t>
      </w:r>
      <w:proofErr w:type="spellEnd"/>
      <w:r w:rsidRPr="00F47F35">
        <w:rPr>
          <w:rFonts w:ascii="Times New Roman" w:hAnsi="Times New Roman"/>
          <w:sz w:val="24"/>
          <w:szCs w:val="20"/>
        </w:rPr>
        <w:t xml:space="preserve"> Н. В. Теория и история налогообложения. Издательство: </w:t>
      </w:r>
      <w:proofErr w:type="spellStart"/>
      <w:r w:rsidRPr="00F47F35">
        <w:rPr>
          <w:rFonts w:ascii="Times New Roman" w:hAnsi="Times New Roman"/>
          <w:sz w:val="24"/>
          <w:szCs w:val="20"/>
        </w:rPr>
        <w:t>КноРус</w:t>
      </w:r>
      <w:proofErr w:type="spellEnd"/>
      <w:r w:rsidRPr="00F47F35">
        <w:rPr>
          <w:rFonts w:ascii="Times New Roman" w:hAnsi="Times New Roman"/>
          <w:sz w:val="24"/>
          <w:szCs w:val="20"/>
        </w:rPr>
        <w:t>, 2013. - ЗЗ6 с.;</w:t>
      </w:r>
    </w:p>
    <w:p w:rsidR="00F47F35" w:rsidRPr="00F47F35" w:rsidRDefault="00F47F35" w:rsidP="00F47F35">
      <w:pPr>
        <w:spacing w:after="0" w:line="240" w:lineRule="exact"/>
        <w:ind w:firstLine="567"/>
        <w:jc w:val="both"/>
        <w:rPr>
          <w:rFonts w:ascii="Times New Roman" w:hAnsi="Times New Roman"/>
          <w:sz w:val="24"/>
          <w:szCs w:val="20"/>
        </w:rPr>
      </w:pPr>
      <w:r w:rsidRPr="00F47F35">
        <w:rPr>
          <w:rFonts w:ascii="Times New Roman" w:hAnsi="Times New Roman"/>
          <w:sz w:val="24"/>
          <w:szCs w:val="20"/>
        </w:rPr>
        <w:t xml:space="preserve">2 </w:t>
      </w:r>
      <w:proofErr w:type="spellStart"/>
      <w:r w:rsidRPr="00F47F35">
        <w:rPr>
          <w:rFonts w:ascii="Times New Roman" w:hAnsi="Times New Roman"/>
          <w:sz w:val="24"/>
          <w:szCs w:val="20"/>
        </w:rPr>
        <w:t>Паскачев</w:t>
      </w:r>
      <w:proofErr w:type="spellEnd"/>
      <w:r w:rsidRPr="00F47F35">
        <w:rPr>
          <w:rFonts w:ascii="Times New Roman" w:hAnsi="Times New Roman"/>
          <w:sz w:val="24"/>
          <w:szCs w:val="20"/>
        </w:rPr>
        <w:t xml:space="preserve"> А.Б. Налоги и налогообложение. Учебное </w:t>
      </w:r>
      <w:proofErr w:type="gramStart"/>
      <w:r w:rsidRPr="00F47F35">
        <w:rPr>
          <w:rFonts w:ascii="Times New Roman" w:hAnsi="Times New Roman"/>
          <w:sz w:val="24"/>
          <w:szCs w:val="20"/>
        </w:rPr>
        <w:t>пособие .</w:t>
      </w:r>
      <w:proofErr w:type="gramEnd"/>
      <w:r w:rsidRPr="00F47F35">
        <w:rPr>
          <w:rFonts w:ascii="Times New Roman" w:hAnsi="Times New Roman"/>
          <w:sz w:val="24"/>
          <w:szCs w:val="20"/>
        </w:rPr>
        <w:t xml:space="preserve"> М.: Высшее образование. -  384 с. ISBN 9785969202238;</w:t>
      </w:r>
    </w:p>
    <w:p w:rsidR="00F47F35" w:rsidRPr="00F47F35" w:rsidRDefault="00F47F35" w:rsidP="00F47F35">
      <w:pPr>
        <w:spacing w:after="0" w:line="240" w:lineRule="exact"/>
        <w:ind w:firstLine="567"/>
        <w:jc w:val="both"/>
        <w:rPr>
          <w:rFonts w:ascii="Times New Roman" w:hAnsi="Times New Roman"/>
          <w:sz w:val="24"/>
          <w:szCs w:val="20"/>
        </w:rPr>
      </w:pPr>
      <w:r w:rsidRPr="00F47F35">
        <w:rPr>
          <w:rFonts w:ascii="Times New Roman" w:hAnsi="Times New Roman"/>
          <w:sz w:val="24"/>
          <w:szCs w:val="20"/>
        </w:rPr>
        <w:t>3 Маслов Б.Г. Налоговые системы зарубежных стран. Учебно-методическое пособие. Гриф УМО МО РФ. Издательство: Дело и сервис (</w:t>
      </w:r>
      <w:proofErr w:type="spellStart"/>
      <w:r w:rsidRPr="00F47F35">
        <w:rPr>
          <w:rFonts w:ascii="Times New Roman" w:hAnsi="Times New Roman"/>
          <w:sz w:val="24"/>
          <w:szCs w:val="20"/>
        </w:rPr>
        <w:t>ДиС</w:t>
      </w:r>
      <w:proofErr w:type="spellEnd"/>
      <w:r w:rsidRPr="00F47F35">
        <w:rPr>
          <w:rFonts w:ascii="Times New Roman" w:hAnsi="Times New Roman"/>
          <w:sz w:val="24"/>
          <w:szCs w:val="20"/>
        </w:rPr>
        <w:t>). 2011- 432 с.;</w:t>
      </w:r>
    </w:p>
    <w:p w:rsidR="00F47F35" w:rsidRPr="00F47F35" w:rsidRDefault="00F47F35" w:rsidP="00F47F35">
      <w:pPr>
        <w:spacing w:after="0" w:line="240" w:lineRule="exact"/>
        <w:ind w:firstLine="567"/>
        <w:jc w:val="both"/>
        <w:rPr>
          <w:rFonts w:ascii="Times New Roman" w:hAnsi="Times New Roman"/>
          <w:sz w:val="24"/>
          <w:szCs w:val="20"/>
        </w:rPr>
      </w:pPr>
      <w:r w:rsidRPr="00F47F35">
        <w:rPr>
          <w:rFonts w:ascii="Times New Roman" w:hAnsi="Times New Roman"/>
          <w:sz w:val="24"/>
          <w:szCs w:val="20"/>
        </w:rPr>
        <w:t xml:space="preserve">4 </w:t>
      </w:r>
      <w:proofErr w:type="spellStart"/>
      <w:r w:rsidRPr="00F47F35">
        <w:rPr>
          <w:rFonts w:ascii="Times New Roman" w:hAnsi="Times New Roman"/>
          <w:sz w:val="24"/>
          <w:szCs w:val="20"/>
        </w:rPr>
        <w:t>Бекболсынова</w:t>
      </w:r>
      <w:proofErr w:type="spellEnd"/>
      <w:r w:rsidRPr="00F47F35">
        <w:rPr>
          <w:rFonts w:ascii="Times New Roman" w:hAnsi="Times New Roman"/>
          <w:sz w:val="24"/>
          <w:szCs w:val="20"/>
        </w:rPr>
        <w:t xml:space="preserve"> А. Налоги и налогообложение. Учебное пособие. – Астана: Фолиант. 2010. – 448 с.;</w:t>
      </w:r>
    </w:p>
    <w:p w:rsidR="00F47F35" w:rsidRPr="00F47F35" w:rsidRDefault="00F47F35" w:rsidP="00F47F35">
      <w:pPr>
        <w:spacing w:after="0" w:line="240" w:lineRule="exact"/>
        <w:ind w:firstLine="567"/>
        <w:jc w:val="both"/>
        <w:rPr>
          <w:rFonts w:ascii="Times New Roman" w:hAnsi="Times New Roman"/>
          <w:color w:val="000000"/>
          <w:sz w:val="24"/>
          <w:szCs w:val="20"/>
        </w:rPr>
      </w:pPr>
      <w:r w:rsidRPr="00F47F35">
        <w:rPr>
          <w:rFonts w:ascii="Times New Roman" w:hAnsi="Times New Roman"/>
          <w:sz w:val="24"/>
          <w:szCs w:val="20"/>
        </w:rPr>
        <w:t xml:space="preserve">5 </w:t>
      </w:r>
      <w:r w:rsidRPr="00F47F35">
        <w:rPr>
          <w:rFonts w:ascii="Times New Roman" w:hAnsi="Times New Roman"/>
          <w:color w:val="000000"/>
          <w:sz w:val="24"/>
          <w:szCs w:val="20"/>
        </w:rPr>
        <w:t>Кодекс Республики Казахстан от 10 декабря 2008 года № 99-IV «О налогах и других обязательных платежах в бюджет (Налоговый кодекс)» (с изменениями и дополнениями по состоянию на 14.01.2016 г.). Электронный ресурс: http://online.zakon.kz/Document/?doc_id=30366217;</w:t>
      </w:r>
    </w:p>
    <w:bookmarkEnd w:id="2"/>
    <w:p w:rsidR="00F47F35" w:rsidRPr="00F47F35" w:rsidRDefault="00F47F35" w:rsidP="00F47F35">
      <w:pPr>
        <w:rPr>
          <w:rFonts w:ascii="Times New Roman" w:hAnsi="Times New Roman" w:cs="Times New Roman"/>
          <w:sz w:val="28"/>
        </w:rPr>
      </w:pPr>
    </w:p>
    <w:sectPr w:rsidR="00F47F35" w:rsidRPr="00F47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89"/>
    <w:rsid w:val="001E65E5"/>
    <w:rsid w:val="002C3F89"/>
    <w:rsid w:val="00704E55"/>
    <w:rsid w:val="00F47F35"/>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C36A"/>
  <w15:chartTrackingRefBased/>
  <w15:docId w15:val="{EA7ABD0C-B79C-4CB0-A21F-CD3FD7E7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7F3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F35"/>
    <w:rPr>
      <w:color w:val="0563C1" w:themeColor="hyperlink"/>
      <w:u w:val="single"/>
    </w:rPr>
  </w:style>
  <w:style w:type="character" w:customStyle="1" w:styleId="10">
    <w:name w:val="Заголовок 1 Знак"/>
    <w:basedOn w:val="a0"/>
    <w:link w:val="1"/>
    <w:uiPriority w:val="9"/>
    <w:rsid w:val="00F47F35"/>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unhideWhenUsed/>
    <w:rsid w:val="00F47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456</Words>
  <Characters>2603</Characters>
  <Application>Microsoft Office Word</Application>
  <DocSecurity>0</DocSecurity>
  <Lines>21</Lines>
  <Paragraphs>6</Paragraphs>
  <ScaleCrop>false</ScaleCrop>
  <Company>SPecialiST RePack</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2017-03-23T07:29:00Z</dcterms:created>
  <dcterms:modified xsi:type="dcterms:W3CDTF">2017-04-11T11:14:00Z</dcterms:modified>
</cp:coreProperties>
</file>