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2F6B16" w:rsidP="002F6B16">
      <w:pPr>
        <w:jc w:val="center"/>
        <w:rPr>
          <w:rFonts w:ascii="Times New Roman" w:hAnsi="Times New Roman" w:cs="Times New Roman"/>
          <w:sz w:val="28"/>
        </w:rPr>
      </w:pPr>
      <w:r w:rsidRPr="002F6B16">
        <w:rPr>
          <w:rFonts w:ascii="Times New Roman" w:hAnsi="Times New Roman" w:cs="Times New Roman"/>
          <w:sz w:val="28"/>
        </w:rPr>
        <w:t>Возмещение убытков как способ защиты гражданских прав</w:t>
      </w:r>
    </w:p>
    <w:p w:rsidR="002F6B16" w:rsidRDefault="002F6B16" w:rsidP="002F6B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Стр-38</w:t>
      </w:r>
    </w:p>
    <w:p w:rsidR="002F6B16" w:rsidRPr="008B51F2" w:rsidRDefault="002F6B16" w:rsidP="002F6B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51F2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2F6B16" w:rsidRPr="008B51F2" w:rsidRDefault="002F6B16" w:rsidP="002F6B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b/>
          <w:sz w:val="28"/>
          <w:szCs w:val="20"/>
        </w:rPr>
      </w:pPr>
      <w:r w:rsidRPr="002F6B16">
        <w:rPr>
          <w:rFonts w:ascii="Times New Roman" w:hAnsi="Times New Roman" w:cs="Times New Roman"/>
          <w:b/>
          <w:sz w:val="28"/>
          <w:szCs w:val="20"/>
        </w:rPr>
        <w:t>Введение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b/>
          <w:sz w:val="28"/>
          <w:szCs w:val="20"/>
        </w:rPr>
      </w:pP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Pr="002F6B16">
        <w:rPr>
          <w:rFonts w:ascii="Times New Roman" w:hAnsi="Times New Roman" w:cs="Times New Roman"/>
          <w:b/>
          <w:sz w:val="28"/>
          <w:szCs w:val="20"/>
        </w:rPr>
        <w:t>.Теоретические основы возмещения убытков как способа защиты гражданских прав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sz w:val="28"/>
          <w:szCs w:val="20"/>
        </w:rPr>
        <w:t>1.1. Понятие, значение и способы защиты гражданских прав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sz w:val="28"/>
          <w:szCs w:val="20"/>
        </w:rPr>
        <w:t>1.2. Понятие и виды убытков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sz w:val="28"/>
          <w:szCs w:val="20"/>
        </w:rPr>
        <w:t>1.3. Возмещение убытков: соотношение между реальным ущербом и неполученными доходами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sz w:val="28"/>
          <w:szCs w:val="20"/>
        </w:rPr>
        <w:t>1.4. Неустойка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sz w:val="28"/>
          <w:szCs w:val="20"/>
        </w:rPr>
        <w:t>1.5. Возмещение морального вреда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b/>
          <w:sz w:val="28"/>
          <w:szCs w:val="20"/>
        </w:rPr>
      </w:pPr>
      <w:r w:rsidRPr="002F6B16">
        <w:rPr>
          <w:rFonts w:ascii="Times New Roman" w:hAnsi="Times New Roman" w:cs="Times New Roman"/>
          <w:b/>
          <w:sz w:val="28"/>
          <w:szCs w:val="20"/>
          <w:lang w:val="en-US"/>
        </w:rPr>
        <w:t>II</w:t>
      </w:r>
      <w:r w:rsidRPr="002F6B16">
        <w:rPr>
          <w:rFonts w:ascii="Times New Roman" w:hAnsi="Times New Roman" w:cs="Times New Roman"/>
          <w:b/>
          <w:sz w:val="28"/>
          <w:szCs w:val="20"/>
        </w:rPr>
        <w:t>.Проблемы основания, условия возникновения и определения размера возмещения убытков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sz w:val="28"/>
          <w:szCs w:val="20"/>
        </w:rPr>
        <w:t>2.1. Условия возникновения и основания возмещения убытков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sz w:val="28"/>
          <w:szCs w:val="20"/>
        </w:rPr>
        <w:t>2.2. Объем и размер возмещения убытков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  <w:r w:rsidRPr="002F6B16">
        <w:rPr>
          <w:rFonts w:ascii="Times New Roman" w:hAnsi="Times New Roman" w:cs="Times New Roman"/>
          <w:sz w:val="28"/>
          <w:szCs w:val="20"/>
        </w:rPr>
        <w:t>2.3. Ответственность за неправомерное пользование чужими деньгами и отдельные виды правонарушений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b/>
          <w:sz w:val="28"/>
          <w:szCs w:val="20"/>
        </w:rPr>
      </w:pPr>
      <w:r w:rsidRPr="002F6B16">
        <w:rPr>
          <w:rFonts w:ascii="Times New Roman" w:hAnsi="Times New Roman" w:cs="Times New Roman"/>
          <w:b/>
          <w:sz w:val="28"/>
          <w:szCs w:val="20"/>
        </w:rPr>
        <w:t>Заключение</w:t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b/>
          <w:sz w:val="28"/>
          <w:szCs w:val="20"/>
        </w:rPr>
      </w:pP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b/>
          <w:sz w:val="28"/>
          <w:szCs w:val="20"/>
        </w:rPr>
      </w:pPr>
      <w:r w:rsidRPr="002F6B16">
        <w:rPr>
          <w:rFonts w:ascii="Times New Roman" w:hAnsi="Times New Roman" w:cs="Times New Roman"/>
          <w:b/>
          <w:sz w:val="28"/>
          <w:szCs w:val="20"/>
        </w:rPr>
        <w:t>Список использованных источников</w:t>
      </w:r>
    </w:p>
    <w:p w:rsidR="002F6B16" w:rsidRDefault="002F6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F6B16" w:rsidRPr="002F6B16" w:rsidRDefault="002F6B16" w:rsidP="002F6B16">
      <w:pPr>
        <w:pStyle w:val="2"/>
        <w:ind w:firstLine="284"/>
        <w:jc w:val="both"/>
        <w:rPr>
          <w:b/>
          <w:sz w:val="28"/>
          <w:szCs w:val="20"/>
        </w:rPr>
      </w:pPr>
      <w:r w:rsidRPr="002F6B16">
        <w:rPr>
          <w:b/>
          <w:sz w:val="28"/>
          <w:szCs w:val="20"/>
        </w:rPr>
        <w:lastRenderedPageBreak/>
        <w:t>Заключение</w:t>
      </w:r>
    </w:p>
    <w:p w:rsidR="002F6B16" w:rsidRPr="002F6B16" w:rsidRDefault="002F6B16" w:rsidP="002F6B16">
      <w:pPr>
        <w:pStyle w:val="2"/>
        <w:ind w:firstLine="284"/>
        <w:jc w:val="both"/>
        <w:rPr>
          <w:sz w:val="28"/>
          <w:szCs w:val="20"/>
        </w:rPr>
      </w:pPr>
    </w:p>
    <w:p w:rsidR="002F6B16" w:rsidRPr="002F6B16" w:rsidRDefault="002F6B16" w:rsidP="002F6B16">
      <w:pPr>
        <w:pStyle w:val="2"/>
        <w:ind w:firstLine="284"/>
        <w:jc w:val="both"/>
        <w:rPr>
          <w:sz w:val="28"/>
          <w:szCs w:val="20"/>
        </w:rPr>
      </w:pPr>
      <w:r w:rsidRPr="002F6B16">
        <w:rPr>
          <w:sz w:val="28"/>
          <w:szCs w:val="20"/>
        </w:rPr>
        <w:t>Проведено дипломное исследование института возмещения убытков, в связи с чем, сформулированы основные положения по данному вопросу. Выяснено, что защита гражданских прав включает в себя все меры, предусмотренные законом, направленные на обеспечение неприкосновенности права и ликвидацию последствий нарушения. Гражданско-правовые санкции состоят из мер имущественной ответственности и оперативных санкций.</w:t>
      </w:r>
    </w:p>
    <w:p w:rsidR="002F6B16" w:rsidRPr="002F6B16" w:rsidRDefault="002F6B16" w:rsidP="002F6B16">
      <w:pPr>
        <w:pStyle w:val="2"/>
        <w:ind w:firstLine="284"/>
        <w:jc w:val="both"/>
        <w:rPr>
          <w:sz w:val="28"/>
          <w:szCs w:val="20"/>
        </w:rPr>
      </w:pPr>
      <w:r w:rsidRPr="002F6B16">
        <w:rPr>
          <w:sz w:val="28"/>
          <w:szCs w:val="20"/>
        </w:rPr>
        <w:t xml:space="preserve">Должник, который нарушил обязательство, обязан кредитору возместить убытки, вызванные нарушением данного обязательства. Весь смысл возмещения убытков той стороне, чьи права оказались нарушены, сведен к тому, что его имущество должно быть теперь в том положении, в котором оно могло бы находиться, если бы должник исполнил надлежащим образом обязательство. Именно поэтому реализация такой нормы потребует возмещения кредитору реального ущерба, причиненного нарушением обязательства, а также упущенной выгоды. </w:t>
      </w:r>
    </w:p>
    <w:p w:rsidR="002F6B16" w:rsidRDefault="002F6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F6B16" w:rsidRPr="002F6B16" w:rsidRDefault="002F6B16" w:rsidP="002F6B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B1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2F6B16" w:rsidRPr="002F6B16" w:rsidRDefault="002F6B16" w:rsidP="002F6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B16" w:rsidRPr="002F6B16" w:rsidRDefault="002F6B16" w:rsidP="002F6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6B16">
        <w:rPr>
          <w:rFonts w:ascii="Times New Roman" w:hAnsi="Times New Roman" w:cs="Times New Roman"/>
          <w:sz w:val="28"/>
          <w:szCs w:val="28"/>
        </w:rPr>
        <w:t xml:space="preserve">1.Сергеев А.П. Гражданское право. - М.: ТК </w:t>
      </w:r>
      <w:proofErr w:type="spellStart"/>
      <w:r w:rsidRPr="002F6B1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, 2008. – 600 с.</w:t>
      </w:r>
    </w:p>
    <w:p w:rsidR="002F6B16" w:rsidRPr="002F6B16" w:rsidRDefault="002F6B16" w:rsidP="002F6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B16">
        <w:rPr>
          <w:rFonts w:ascii="Times New Roman" w:hAnsi="Times New Roman" w:cs="Times New Roman"/>
          <w:sz w:val="28"/>
          <w:szCs w:val="28"/>
        </w:rPr>
        <w:t>2.Гражданский кодекс Республики Казахстан (Общая часть), от 27 декабря 1994 года (с дополнениями и изменениями по состоянию на 16.11.2015 г.) // Информационно-правовая система нормативных правовых актов Республики Казахстан «</w:t>
      </w:r>
      <w:proofErr w:type="spellStart"/>
      <w:r w:rsidRPr="002F6B16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», &lt;</w:t>
      </w:r>
      <w:r w:rsidRPr="002F6B16">
        <w:rPr>
          <w:rFonts w:ascii="Times New Roman" w:hAnsi="Times New Roman" w:cs="Times New Roman"/>
          <w:sz w:val="28"/>
          <w:szCs w:val="28"/>
          <w:lang w:val="pl-PL"/>
        </w:rPr>
        <w:t>http</w:t>
      </w:r>
      <w:r w:rsidRPr="002F6B1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F6B16">
        <w:rPr>
          <w:rFonts w:ascii="Times New Roman" w:hAnsi="Times New Roman" w:cs="Times New Roman"/>
          <w:sz w:val="28"/>
          <w:szCs w:val="28"/>
          <w:lang w:val="en-US"/>
        </w:rPr>
        <w:t>adilet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B16">
        <w:rPr>
          <w:rFonts w:ascii="Times New Roman" w:hAnsi="Times New Roman" w:cs="Times New Roman"/>
          <w:sz w:val="28"/>
          <w:szCs w:val="28"/>
          <w:lang w:val="en-US"/>
        </w:rPr>
        <w:t>zan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B16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&gt; (дата обращения: 15.12.2015 г.).</w:t>
      </w:r>
    </w:p>
    <w:p w:rsidR="002F6B16" w:rsidRPr="002F6B16" w:rsidRDefault="002F6B16" w:rsidP="002F6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B16">
        <w:rPr>
          <w:rFonts w:ascii="Times New Roman" w:hAnsi="Times New Roman" w:cs="Times New Roman"/>
          <w:sz w:val="28"/>
          <w:szCs w:val="28"/>
        </w:rPr>
        <w:t>3.Гражданский процессуальный кодекс Республики Казахстан № 411-I от 13 июля 1999 года (с дополнениями и изменениями по состоянию на 13.11.2015 г.) // Информационно-правовая система нормативных правовых актов Республики Казахстан «</w:t>
      </w:r>
      <w:proofErr w:type="spellStart"/>
      <w:r w:rsidRPr="002F6B16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», &lt;</w:t>
      </w:r>
      <w:r w:rsidRPr="002F6B16">
        <w:rPr>
          <w:rFonts w:ascii="Times New Roman" w:hAnsi="Times New Roman" w:cs="Times New Roman"/>
          <w:sz w:val="28"/>
          <w:szCs w:val="28"/>
          <w:lang w:val="pl-PL"/>
        </w:rPr>
        <w:t>http</w:t>
      </w:r>
      <w:r w:rsidRPr="002F6B1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F6B16">
        <w:rPr>
          <w:rFonts w:ascii="Times New Roman" w:hAnsi="Times New Roman" w:cs="Times New Roman"/>
          <w:sz w:val="28"/>
          <w:szCs w:val="28"/>
          <w:lang w:val="en-US"/>
        </w:rPr>
        <w:t>adilet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B16">
        <w:rPr>
          <w:rFonts w:ascii="Times New Roman" w:hAnsi="Times New Roman" w:cs="Times New Roman"/>
          <w:sz w:val="28"/>
          <w:szCs w:val="28"/>
          <w:lang w:val="en-US"/>
        </w:rPr>
        <w:t>zan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B16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2F6B16">
        <w:rPr>
          <w:rFonts w:ascii="Times New Roman" w:hAnsi="Times New Roman" w:cs="Times New Roman"/>
          <w:sz w:val="28"/>
          <w:szCs w:val="28"/>
        </w:rPr>
        <w:t>&gt; (дата обращения: 20.12.2015 г.).</w:t>
      </w:r>
    </w:p>
    <w:p w:rsidR="002F6B16" w:rsidRPr="002F6B16" w:rsidRDefault="002F6B16" w:rsidP="002F6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B16">
        <w:rPr>
          <w:rFonts w:ascii="Times New Roman" w:hAnsi="Times New Roman" w:cs="Times New Roman"/>
          <w:sz w:val="28"/>
          <w:szCs w:val="28"/>
        </w:rPr>
        <w:t>4. Суханов Е.А. Гражданское право. - М.: БЕК, 2004. – 384 с.</w:t>
      </w:r>
    </w:p>
    <w:p w:rsidR="002F6B16" w:rsidRPr="002F6B16" w:rsidRDefault="002F6B16" w:rsidP="002F6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B16">
        <w:rPr>
          <w:rFonts w:ascii="Times New Roman" w:hAnsi="Times New Roman" w:cs="Times New Roman"/>
          <w:sz w:val="28"/>
          <w:szCs w:val="28"/>
        </w:rPr>
        <w:t>5. Суханов Е.А. Российское гражданское право. - М.: Статут, 2010. – 687 с.</w:t>
      </w:r>
    </w:p>
    <w:bookmarkEnd w:id="0"/>
    <w:p w:rsidR="002F6B16" w:rsidRPr="002F6B16" w:rsidRDefault="002F6B16" w:rsidP="002F6B16">
      <w:pPr>
        <w:rPr>
          <w:rFonts w:ascii="Times New Roman" w:hAnsi="Times New Roman" w:cs="Times New Roman"/>
          <w:sz w:val="28"/>
        </w:rPr>
      </w:pPr>
    </w:p>
    <w:p w:rsidR="002F6B16" w:rsidRPr="002F6B16" w:rsidRDefault="002F6B16" w:rsidP="002F6B16">
      <w:pPr>
        <w:rPr>
          <w:rFonts w:ascii="Times New Roman" w:hAnsi="Times New Roman" w:cs="Times New Roman"/>
          <w:sz w:val="28"/>
        </w:rPr>
      </w:pPr>
    </w:p>
    <w:p w:rsidR="002F6B16" w:rsidRPr="002F6B16" w:rsidRDefault="002F6B16" w:rsidP="002F6B16">
      <w:pPr>
        <w:rPr>
          <w:rFonts w:ascii="Times New Roman" w:hAnsi="Times New Roman" w:cs="Times New Roman"/>
          <w:sz w:val="28"/>
        </w:rPr>
      </w:pPr>
    </w:p>
    <w:p w:rsidR="002F6B16" w:rsidRDefault="002F6B16" w:rsidP="002F6B16">
      <w:pPr>
        <w:rPr>
          <w:rFonts w:ascii="Times New Roman" w:hAnsi="Times New Roman" w:cs="Times New Roman"/>
          <w:sz w:val="28"/>
        </w:rPr>
      </w:pPr>
    </w:p>
    <w:p w:rsidR="002F6B16" w:rsidRPr="002F6B16" w:rsidRDefault="002F6B16" w:rsidP="002F6B16">
      <w:pPr>
        <w:jc w:val="center"/>
        <w:rPr>
          <w:rFonts w:ascii="Times New Roman" w:hAnsi="Times New Roman" w:cs="Times New Roman"/>
          <w:sz w:val="28"/>
        </w:rPr>
      </w:pPr>
    </w:p>
    <w:sectPr w:rsidR="002F6B16" w:rsidRPr="002F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9D"/>
    <w:rsid w:val="0009306D"/>
    <w:rsid w:val="002F6B16"/>
    <w:rsid w:val="00704E55"/>
    <w:rsid w:val="00D0269D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1646"/>
  <w15:chartTrackingRefBased/>
  <w15:docId w15:val="{50AD6E03-20F0-4493-98C9-9D62647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16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Без интервала2"/>
    <w:qFormat/>
    <w:rsid w:val="002F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2017-03-02T09:06:00Z</dcterms:created>
  <dcterms:modified xsi:type="dcterms:W3CDTF">2017-05-15T08:27:00Z</dcterms:modified>
</cp:coreProperties>
</file>