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4728A5" w:rsidP="004728A5">
      <w:pPr>
        <w:jc w:val="center"/>
        <w:rPr>
          <w:rFonts w:ascii="Times New Roman" w:hAnsi="Times New Roman" w:cs="Times New Roman"/>
          <w:sz w:val="28"/>
          <w:szCs w:val="28"/>
        </w:rPr>
      </w:pPr>
      <w:r w:rsidRPr="004728A5">
        <w:rPr>
          <w:rFonts w:ascii="Times New Roman" w:hAnsi="Times New Roman" w:cs="Times New Roman"/>
          <w:sz w:val="28"/>
          <w:szCs w:val="28"/>
        </w:rPr>
        <w:t>Др-Использование фундаментального и технического анализа на рынке ценных бумаг</w:t>
      </w:r>
    </w:p>
    <w:p w:rsidR="004728A5" w:rsidRDefault="004728A5" w:rsidP="004728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Стр-99</w:t>
      </w:r>
    </w:p>
    <w:p w:rsidR="004728A5" w:rsidRPr="004728A5" w:rsidRDefault="004728A5" w:rsidP="004728A5">
      <w:pPr>
        <w:spacing w:after="0" w:line="225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728A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СОДЕРЖАНИЕ</w:t>
      </w:r>
    </w:p>
    <w:p w:rsidR="004728A5" w:rsidRPr="004728A5" w:rsidRDefault="004728A5" w:rsidP="004728A5">
      <w:pPr>
        <w:spacing w:after="0" w:line="225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28A5" w:rsidRPr="004728A5" w:rsidRDefault="004728A5" w:rsidP="004728A5">
      <w:pPr>
        <w:widowControl w:val="0"/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lang w:eastAsia="ru-RU"/>
        </w:rPr>
      </w:pPr>
      <w:r w:rsidRPr="004728A5">
        <w:rPr>
          <w:rFonts w:ascii="Times New Roman" w:eastAsia="Times New Roman" w:hAnsi="Times New Roman" w:cs="Times New Roman"/>
          <w:b/>
          <w:noProof/>
          <w:sz w:val="28"/>
        </w:rPr>
        <w:fldChar w:fldCharType="begin"/>
      </w:r>
      <w:r w:rsidRPr="004728A5">
        <w:rPr>
          <w:rFonts w:ascii="Times New Roman" w:eastAsia="Times New Roman" w:hAnsi="Times New Roman" w:cs="Times New Roman"/>
          <w:b/>
          <w:noProof/>
          <w:sz w:val="28"/>
        </w:rPr>
        <w:instrText xml:space="preserve"> TOC \o "1-3" \h \z \u </w:instrText>
      </w:r>
      <w:r w:rsidRPr="004728A5">
        <w:rPr>
          <w:rFonts w:ascii="Times New Roman" w:eastAsia="Times New Roman" w:hAnsi="Times New Roman" w:cs="Times New Roman"/>
          <w:b/>
          <w:noProof/>
          <w:sz w:val="28"/>
        </w:rPr>
        <w:fldChar w:fldCharType="separate"/>
      </w:r>
      <w:hyperlink w:anchor="_Toc451855138" w:history="1">
        <w:r w:rsidRPr="004728A5">
          <w:rPr>
            <w:rFonts w:ascii="Times New Roman" w:eastAsia="Times New Roman" w:hAnsi="Times New Roman" w:cs="Times New Roman"/>
            <w:b/>
            <w:noProof/>
            <w:sz w:val="28"/>
          </w:rPr>
          <w:t>ВВЕДЕНИЕ</w:t>
        </w:r>
      </w:hyperlink>
    </w:p>
    <w:p w:rsidR="004728A5" w:rsidRPr="004728A5" w:rsidRDefault="00B65868" w:rsidP="004728A5">
      <w:pPr>
        <w:widowControl w:val="0"/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lang w:eastAsia="ru-RU"/>
        </w:rPr>
      </w:pPr>
      <w:hyperlink w:anchor="_Toc451855139" w:history="1">
        <w:r w:rsidR="004728A5" w:rsidRPr="004728A5">
          <w:rPr>
            <w:rFonts w:ascii="Times New Roman" w:eastAsia="Times New Roman" w:hAnsi="Times New Roman" w:cs="Times New Roman"/>
            <w:b/>
            <w:noProof/>
            <w:sz w:val="28"/>
          </w:rPr>
          <w:t>1 ФУНДАМЕНТАЛЬНЫЙ И ТЕХНИЧЕСКИЙ АНАЛИЗ КАК ГЛАВНЫЕ ИНСТРУМЕНТЫ ИССЛЕДОВАНИЯ РЫНКА ЦЕННЫХ БУМАГ</w:t>
        </w:r>
      </w:hyperlink>
    </w:p>
    <w:p w:rsidR="004728A5" w:rsidRPr="004728A5" w:rsidRDefault="00B65868" w:rsidP="004728A5">
      <w:pPr>
        <w:widowControl w:val="0"/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lang w:eastAsia="ru-RU"/>
        </w:rPr>
      </w:pPr>
      <w:hyperlink w:anchor="_Toc451855140" w:history="1">
        <w:r w:rsidR="004728A5" w:rsidRPr="004728A5">
          <w:rPr>
            <w:rFonts w:ascii="Times New Roman" w:eastAsia="Times New Roman" w:hAnsi="Times New Roman" w:cs="Times New Roman"/>
            <w:noProof/>
            <w:sz w:val="28"/>
          </w:rPr>
          <w:t>1.1</w:t>
        </w:r>
        <w:r w:rsidR="004728A5" w:rsidRPr="004728A5">
          <w:rPr>
            <w:rFonts w:ascii="Times New Roman" w:eastAsia="Times New Roman" w:hAnsi="Times New Roman" w:cs="Times New Roman"/>
            <w:noProof/>
            <w:spacing w:val="-8"/>
            <w:sz w:val="28"/>
          </w:rPr>
          <w:t xml:space="preserve"> Роль анализа рынка ценных бумаг</w:t>
        </w:r>
        <w:r w:rsidR="004728A5" w:rsidRPr="004728A5">
          <w:rPr>
            <w:rFonts w:ascii="Times New Roman" w:eastAsia="Times New Roman" w:hAnsi="Times New Roman" w:cs="Times New Roman"/>
            <w:noProof/>
            <w:sz w:val="28"/>
          </w:rPr>
          <w:t xml:space="preserve"> в процессе инвестиционного решения</w:t>
        </w:r>
      </w:hyperlink>
    </w:p>
    <w:p w:rsidR="004728A5" w:rsidRPr="004728A5" w:rsidRDefault="00B65868" w:rsidP="004728A5">
      <w:pPr>
        <w:widowControl w:val="0"/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lang w:eastAsia="ru-RU"/>
        </w:rPr>
      </w:pPr>
      <w:hyperlink w:anchor="_Toc451855141" w:history="1">
        <w:r w:rsidR="004728A5" w:rsidRPr="004728A5">
          <w:rPr>
            <w:rFonts w:ascii="Times New Roman" w:eastAsia="Times New Roman" w:hAnsi="Times New Roman" w:cs="Times New Roman"/>
            <w:noProof/>
            <w:sz w:val="28"/>
            <w:bdr w:val="none" w:sz="0" w:space="0" w:color="auto" w:frame="1"/>
          </w:rPr>
          <w:t>1.2 Основа фундаментального анализа: определение, методы количественного и качественного анализа</w:t>
        </w:r>
      </w:hyperlink>
    </w:p>
    <w:p w:rsidR="004728A5" w:rsidRPr="004728A5" w:rsidRDefault="00B65868" w:rsidP="004728A5">
      <w:pPr>
        <w:widowControl w:val="0"/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lang w:eastAsia="ru-RU"/>
        </w:rPr>
      </w:pPr>
      <w:hyperlink w:anchor="_Toc451855142" w:history="1">
        <w:r w:rsidR="004728A5" w:rsidRPr="004728A5">
          <w:rPr>
            <w:rFonts w:ascii="Times New Roman" w:eastAsia="Times New Roman" w:hAnsi="Times New Roman" w:cs="Times New Roman"/>
            <w:noProof/>
            <w:sz w:val="28"/>
            <w:bdr w:val="none" w:sz="0" w:space="0" w:color="auto" w:frame="1"/>
          </w:rPr>
          <w:t>1.3 Сущность и инструменты технического анализа: основные особенности и принципы</w:t>
        </w:r>
      </w:hyperlink>
    </w:p>
    <w:p w:rsidR="004728A5" w:rsidRPr="004728A5" w:rsidRDefault="00B65868" w:rsidP="004728A5">
      <w:pPr>
        <w:widowControl w:val="0"/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lang w:eastAsia="ru-RU"/>
        </w:rPr>
      </w:pPr>
      <w:hyperlink w:anchor="_Toc451855143" w:history="1">
        <w:r w:rsidR="004728A5" w:rsidRPr="004728A5">
          <w:rPr>
            <w:rFonts w:ascii="Times New Roman" w:eastAsia="Times New Roman" w:hAnsi="Times New Roman" w:cs="Times New Roman"/>
            <w:b/>
            <w:noProof/>
            <w:sz w:val="28"/>
          </w:rPr>
          <w:t>2 ПРИМЕНЕНИЯ ФУНДАМЕНТАЛЬНОГО И ТЕХНИЧЕСКОГО АНАЛИЗА НА РЫНКЕ ЦЕННЫХ БУМАГ РЕСПУБЛИКИ КАЗАХСТАН</w:t>
        </w:r>
      </w:hyperlink>
    </w:p>
    <w:p w:rsidR="004728A5" w:rsidRPr="004728A5" w:rsidRDefault="00B65868" w:rsidP="004728A5">
      <w:pPr>
        <w:widowControl w:val="0"/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lang w:eastAsia="ru-RU"/>
        </w:rPr>
      </w:pPr>
      <w:hyperlink w:anchor="_Toc451855144" w:history="1">
        <w:r w:rsidR="004728A5" w:rsidRPr="004728A5">
          <w:rPr>
            <w:rFonts w:ascii="Times New Roman" w:eastAsia="Times New Roman" w:hAnsi="Times New Roman" w:cs="Times New Roman"/>
            <w:noProof/>
            <w:sz w:val="28"/>
            <w:bdr w:val="none" w:sz="0" w:space="0" w:color="auto" w:frame="1"/>
          </w:rPr>
          <w:t xml:space="preserve">2.1 </w:t>
        </w:r>
        <w:r w:rsidR="004728A5" w:rsidRPr="004728A5">
          <w:rPr>
            <w:rFonts w:ascii="Times New Roman" w:eastAsia="Times New Roman" w:hAnsi="Times New Roman" w:cs="Times New Roman"/>
            <w:noProof/>
            <w:sz w:val="28"/>
            <w:shd w:val="clear" w:color="auto" w:fill="FFFFFF"/>
          </w:rPr>
          <w:t>Обзор рынка ценных бумаг в Республике Казахстан</w:t>
        </w:r>
      </w:hyperlink>
    </w:p>
    <w:p w:rsidR="004728A5" w:rsidRPr="004728A5" w:rsidRDefault="00B65868" w:rsidP="004728A5">
      <w:pPr>
        <w:widowControl w:val="0"/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lang w:eastAsia="ru-RU"/>
        </w:rPr>
      </w:pPr>
      <w:hyperlink w:anchor="_Toc451855145" w:history="1">
        <w:r w:rsidR="004728A5" w:rsidRPr="004728A5">
          <w:rPr>
            <w:rFonts w:ascii="Times New Roman" w:eastAsia="Times New Roman" w:hAnsi="Times New Roman" w:cs="Times New Roman"/>
            <w:noProof/>
            <w:sz w:val="28"/>
            <w:bdr w:val="none" w:sz="0" w:space="0" w:color="auto" w:frame="1"/>
          </w:rPr>
          <w:t>2.2 Практическое применение технического анализа рынка ценных бумаг ТОО «»</w:t>
        </w:r>
      </w:hyperlink>
      <w:r w:rsidR="004728A5" w:rsidRPr="004728A5">
        <w:rPr>
          <w:rFonts w:ascii="Times New Roman" w:eastAsia="Times New Roman" w:hAnsi="Times New Roman" w:cs="Times New Roman"/>
          <w:noProof/>
          <w:sz w:val="28"/>
          <w:lang w:eastAsia="ru-RU"/>
        </w:rPr>
        <w:t xml:space="preserve"> </w:t>
      </w:r>
    </w:p>
    <w:p w:rsidR="004728A5" w:rsidRPr="004728A5" w:rsidRDefault="00B65868" w:rsidP="004728A5">
      <w:pPr>
        <w:widowControl w:val="0"/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lang w:eastAsia="ru-RU"/>
        </w:rPr>
      </w:pPr>
      <w:hyperlink w:anchor="_Toc451855146" w:history="1">
        <w:r w:rsidR="004728A5" w:rsidRPr="004728A5">
          <w:rPr>
            <w:rFonts w:ascii="Times New Roman" w:eastAsia="Times New Roman" w:hAnsi="Times New Roman" w:cs="Times New Roman"/>
            <w:noProof/>
            <w:sz w:val="28"/>
            <w:bdr w:val="none" w:sz="0" w:space="0" w:color="auto" w:frame="1"/>
          </w:rPr>
          <w:t>2.3 Практическое применение фундаментального анализа рынка ценных бумаг ТОО «»</w:t>
        </w:r>
      </w:hyperlink>
      <w:r w:rsidR="004728A5" w:rsidRPr="004728A5">
        <w:rPr>
          <w:rFonts w:ascii="Times New Roman" w:eastAsia="Times New Roman" w:hAnsi="Times New Roman" w:cs="Times New Roman"/>
          <w:noProof/>
          <w:sz w:val="28"/>
          <w:lang w:eastAsia="ru-RU"/>
        </w:rPr>
        <w:t xml:space="preserve"> </w:t>
      </w:r>
    </w:p>
    <w:p w:rsidR="004728A5" w:rsidRPr="004728A5" w:rsidRDefault="00B65868" w:rsidP="004728A5">
      <w:pPr>
        <w:widowControl w:val="0"/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lang w:eastAsia="ru-RU"/>
        </w:rPr>
      </w:pPr>
      <w:hyperlink w:anchor="_Toc451855147" w:history="1">
        <w:r w:rsidR="004728A5" w:rsidRPr="004728A5">
          <w:rPr>
            <w:rFonts w:ascii="Times New Roman" w:eastAsia="Times New Roman" w:hAnsi="Times New Roman" w:cs="Times New Roman"/>
            <w:b/>
            <w:noProof/>
            <w:sz w:val="28"/>
          </w:rPr>
          <w:t>3 ОЦЕНКИ ПРАКТИЧЕСКОЙ ПРИМЕНИМОСТИ ФУНДАМЕНТАЛЬНОГО И ТЕХНИЧЕСКОГО АНАЛИЗА: ОГРАНИЧЕНИЯ И СПОСОБЫ УЛУЧШЕНИЯ</w:t>
        </w:r>
      </w:hyperlink>
    </w:p>
    <w:p w:rsidR="004728A5" w:rsidRPr="004728A5" w:rsidRDefault="00B65868" w:rsidP="004728A5">
      <w:pPr>
        <w:widowControl w:val="0"/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lang w:eastAsia="ru-RU"/>
        </w:rPr>
      </w:pPr>
      <w:hyperlink w:anchor="_Toc451855148" w:history="1">
        <w:r w:rsidR="004728A5" w:rsidRPr="004728A5">
          <w:rPr>
            <w:rFonts w:ascii="Times New Roman" w:eastAsia="Times New Roman" w:hAnsi="Times New Roman" w:cs="Times New Roman"/>
            <w:noProof/>
            <w:sz w:val="28"/>
            <w:bdr w:val="none" w:sz="0" w:space="0" w:color="auto" w:frame="1"/>
          </w:rPr>
          <w:t>3.1 Уместность фундаментального и технического анализа на рынке ценных бумаг Республики Казахстан</w:t>
        </w:r>
      </w:hyperlink>
    </w:p>
    <w:p w:rsidR="004728A5" w:rsidRPr="004728A5" w:rsidRDefault="00B65868" w:rsidP="004728A5">
      <w:pPr>
        <w:widowControl w:val="0"/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lang w:eastAsia="ru-RU"/>
        </w:rPr>
      </w:pPr>
      <w:hyperlink w:anchor="_Toc451855149" w:history="1">
        <w:r w:rsidR="004728A5" w:rsidRPr="004728A5">
          <w:rPr>
            <w:rFonts w:ascii="Times New Roman" w:eastAsia="Times New Roman" w:hAnsi="Times New Roman" w:cs="Times New Roman"/>
            <w:noProof/>
            <w:sz w:val="28"/>
            <w:bdr w:val="none" w:sz="0" w:space="0" w:color="auto" w:frame="1"/>
          </w:rPr>
          <w:t>3.2 Объединение фундаментального с техническим анализом, чтобы повысить эффективность процесса инвестиционного решения</w:t>
        </w:r>
      </w:hyperlink>
    </w:p>
    <w:p w:rsidR="004728A5" w:rsidRPr="004728A5" w:rsidRDefault="00B65868" w:rsidP="004728A5">
      <w:pPr>
        <w:widowControl w:val="0"/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noProof/>
          <w:sz w:val="28"/>
          <w:lang w:eastAsia="ru-RU"/>
        </w:rPr>
      </w:pPr>
      <w:hyperlink w:anchor="_Toc451855150" w:history="1">
        <w:r w:rsidR="004728A5" w:rsidRPr="004728A5">
          <w:rPr>
            <w:rFonts w:ascii="Times New Roman" w:eastAsia="Times New Roman" w:hAnsi="Times New Roman" w:cs="Times New Roman"/>
            <w:b/>
            <w:caps/>
            <w:noProof/>
            <w:sz w:val="28"/>
          </w:rPr>
          <w:t>Заключение</w:t>
        </w:r>
      </w:hyperlink>
    </w:p>
    <w:p w:rsidR="004728A5" w:rsidRPr="004728A5" w:rsidRDefault="00B65868" w:rsidP="004728A5">
      <w:pPr>
        <w:widowControl w:val="0"/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noProof/>
          <w:sz w:val="28"/>
          <w:lang w:eastAsia="ru-RU"/>
        </w:rPr>
      </w:pPr>
      <w:hyperlink w:anchor="_Toc451855151" w:history="1">
        <w:r w:rsidR="004728A5" w:rsidRPr="004728A5">
          <w:rPr>
            <w:rFonts w:ascii="Times New Roman" w:eastAsia="Times New Roman" w:hAnsi="Times New Roman" w:cs="Times New Roman"/>
            <w:b/>
            <w:caps/>
            <w:noProof/>
            <w:sz w:val="28"/>
          </w:rPr>
          <w:t>Список использованной литературы</w:t>
        </w:r>
      </w:hyperlink>
    </w:p>
    <w:p w:rsidR="004728A5" w:rsidRDefault="004728A5" w:rsidP="004728A5">
      <w:pPr>
        <w:rPr>
          <w:rFonts w:ascii="Times New Roman" w:eastAsia="Times New Roman" w:hAnsi="Times New Roman" w:cs="Times New Roman"/>
          <w:b/>
          <w:bCs/>
        </w:rPr>
      </w:pPr>
      <w:r w:rsidRPr="004728A5">
        <w:rPr>
          <w:rFonts w:ascii="Times New Roman" w:eastAsia="Times New Roman" w:hAnsi="Times New Roman" w:cs="Times New Roman"/>
          <w:b/>
          <w:bCs/>
        </w:rPr>
        <w:fldChar w:fldCharType="end"/>
      </w:r>
    </w:p>
    <w:p w:rsidR="004728A5" w:rsidRDefault="004728A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:rsidR="004728A5" w:rsidRPr="004728A5" w:rsidRDefault="004728A5" w:rsidP="004728A5">
      <w:pPr>
        <w:keepNext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caps/>
          <w:color w:val="000000"/>
          <w:sz w:val="28"/>
          <w:szCs w:val="20"/>
          <w:lang w:eastAsia="ru-RU"/>
        </w:rPr>
      </w:pPr>
      <w:bookmarkStart w:id="0" w:name="_Toc451855150"/>
      <w:r w:rsidRPr="004728A5">
        <w:rPr>
          <w:rFonts w:ascii="Times New Roman" w:eastAsia="Calibri" w:hAnsi="Times New Roman" w:cs="Times New Roman"/>
          <w:b/>
          <w:caps/>
          <w:color w:val="000000"/>
          <w:sz w:val="28"/>
          <w:szCs w:val="20"/>
          <w:lang w:eastAsia="ru-RU"/>
        </w:rPr>
        <w:lastRenderedPageBreak/>
        <w:t>Заключение</w:t>
      </w:r>
      <w:bookmarkEnd w:id="0"/>
    </w:p>
    <w:p w:rsidR="004728A5" w:rsidRPr="004728A5" w:rsidRDefault="004728A5" w:rsidP="004728A5">
      <w:pPr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8A5" w:rsidRPr="004728A5" w:rsidRDefault="004728A5" w:rsidP="00472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сформулируем основные результаты и выводы проведенного исследования.</w:t>
      </w:r>
    </w:p>
    <w:p w:rsidR="004728A5" w:rsidRPr="004728A5" w:rsidRDefault="004728A5" w:rsidP="00472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несколько подходов к прогнозированию динамики фондового рынка: фундаментальный анализ, технический анализ, межрыночный анализ и психологический анализ. Межрыночный анализ применим, для формирования краткосрочных прогнозов или как источник вспомогательной информации для фундаментального и технического анализа. Психологический анализ наиболее полезно использовать как источник дополнительной информации для других методов исследования динамики фондового рынка ценных бумаг.</w:t>
      </w:r>
    </w:p>
    <w:p w:rsidR="004728A5" w:rsidRPr="004728A5" w:rsidRDefault="004728A5" w:rsidP="00472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A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Фундаментальный и технический анализ составляют костяк методов прогнозирования динамики фондового рынка ценных бумаг и являются наиболее разработанными и широко применяемыми. Оба метода обладают достаточно разнообразным инструментарием, который позволяет использовать и фундаментальный и технический анализ для создания кратко-, средне- и долгосрочных прогнозов динамики товарных, валютных и фондовых рынков. Однако эффективность применения инструментов фундаментального и технического анализа для разных рынков и на различные сроки может значительно варьироваться. Фундаментальный и технический анализ представляют две противоборствующие теории о динамике цен на фондовом рынке, однако на практике большинство инвесторов в той или иной степени используют оба метода прогнозирования рыночной динамики.</w:t>
      </w:r>
    </w:p>
    <w:p w:rsidR="004728A5" w:rsidRPr="004728A5" w:rsidRDefault="004728A5" w:rsidP="004728A5">
      <w:pPr>
        <w:pStyle w:val="1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1" w:name="_Toc451855151"/>
      <w:r w:rsidRPr="004728A5">
        <w:rPr>
          <w:rFonts w:ascii="Times New Roman" w:eastAsia="Calibri" w:hAnsi="Times New Roman" w:cs="Times New Roman"/>
          <w:b/>
          <w:caps/>
          <w:color w:val="000000"/>
          <w:sz w:val="28"/>
          <w:szCs w:val="20"/>
          <w:lang w:eastAsia="ru-RU"/>
        </w:rPr>
        <w:lastRenderedPageBreak/>
        <w:t>Список использованной литературы</w:t>
      </w:r>
      <w:bookmarkEnd w:id="1"/>
    </w:p>
    <w:p w:rsidR="004728A5" w:rsidRPr="004728A5" w:rsidRDefault="004728A5" w:rsidP="004728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8A5" w:rsidRPr="004728A5" w:rsidRDefault="004728A5" w:rsidP="004728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r w:rsidRPr="0047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Алехин, Б.И. Рынок ценных бумаг: уч. пособие для студентов вузов/ Б.И. Алехин. - 2-е изд., перераб. и доп. - М.: ЮНИТИ-ДАНА, 2006. с. 138. </w:t>
      </w:r>
    </w:p>
    <w:p w:rsidR="004728A5" w:rsidRPr="004728A5" w:rsidRDefault="004728A5" w:rsidP="004728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A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Сребник, Б.В. Анализ рынка ценных / Б.В. Сребник // Финансовый вестник: налоги, страхование, бухгалтерский учет. - 2009. - №5 - с. 92.</w:t>
      </w:r>
    </w:p>
    <w:p w:rsidR="004728A5" w:rsidRPr="004728A5" w:rsidRDefault="004728A5" w:rsidP="004728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A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Алехин, Б.И. Рынок ценных бумаг: уч. пособие для студентов вузов/ Б.И. Алехин. - 2-е изд., перераб. и доп. - М.: ЮНИТИ-ДАНА, 2006. с. 138.</w:t>
      </w:r>
    </w:p>
    <w:p w:rsidR="004728A5" w:rsidRPr="004728A5" w:rsidRDefault="004728A5" w:rsidP="004728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A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Хаертфельдер, М. Фундаментальный и технический анализ рынка ценных бумаг/ М. Хаертфельдер, Е. Лозовская,</w:t>
      </w:r>
    </w:p>
    <w:p w:rsidR="004728A5" w:rsidRPr="004728A5" w:rsidRDefault="004728A5" w:rsidP="004728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A5">
        <w:rPr>
          <w:rFonts w:ascii="Times New Roman" w:eastAsia="Times New Roman" w:hAnsi="Times New Roman" w:cs="Times New Roman"/>
          <w:sz w:val="28"/>
          <w:szCs w:val="28"/>
          <w:lang w:eastAsia="ru-RU"/>
        </w:rPr>
        <w:t>Е. Хануш. - СПб.: Питер, 2005. с. 29. Мэрфи, Джон Дж. Технический анализ фьючерсных рынков: теория и практика: пер. с англ. - М.: Сокол, 1996. с.</w:t>
      </w:r>
    </w:p>
    <w:bookmarkEnd w:id="2"/>
    <w:p w:rsidR="004728A5" w:rsidRPr="004728A5" w:rsidRDefault="004728A5" w:rsidP="004728A5">
      <w:pPr>
        <w:rPr>
          <w:rFonts w:ascii="Times New Roman" w:hAnsi="Times New Roman" w:cs="Times New Roman"/>
          <w:sz w:val="28"/>
          <w:szCs w:val="28"/>
        </w:rPr>
      </w:pPr>
    </w:p>
    <w:sectPr w:rsidR="004728A5" w:rsidRPr="00472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868" w:rsidRDefault="00B65868" w:rsidP="004728A5">
      <w:pPr>
        <w:spacing w:after="0" w:line="240" w:lineRule="auto"/>
      </w:pPr>
      <w:r>
        <w:separator/>
      </w:r>
    </w:p>
  </w:endnote>
  <w:endnote w:type="continuationSeparator" w:id="0">
    <w:p w:rsidR="00B65868" w:rsidRDefault="00B65868" w:rsidP="0047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868" w:rsidRDefault="00B65868" w:rsidP="004728A5">
      <w:pPr>
        <w:spacing w:after="0" w:line="240" w:lineRule="auto"/>
      </w:pPr>
      <w:r>
        <w:separator/>
      </w:r>
    </w:p>
  </w:footnote>
  <w:footnote w:type="continuationSeparator" w:id="0">
    <w:p w:rsidR="00B65868" w:rsidRDefault="00B65868" w:rsidP="00472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C27CF"/>
    <w:multiLevelType w:val="hybridMultilevel"/>
    <w:tmpl w:val="B790888E"/>
    <w:lvl w:ilvl="0" w:tplc="DBFE417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8D"/>
    <w:rsid w:val="004728A5"/>
    <w:rsid w:val="00704E55"/>
    <w:rsid w:val="009A6F3A"/>
    <w:rsid w:val="00B65868"/>
    <w:rsid w:val="00D11C8D"/>
    <w:rsid w:val="00E102D1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E3D2"/>
  <w15:chartTrackingRefBased/>
  <w15:docId w15:val="{DEDA5CAC-F27A-4421-9FAF-1927081F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28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8A5"/>
  </w:style>
  <w:style w:type="paragraph" w:styleId="a5">
    <w:name w:val="footer"/>
    <w:basedOn w:val="a"/>
    <w:link w:val="a6"/>
    <w:uiPriority w:val="99"/>
    <w:unhideWhenUsed/>
    <w:rsid w:val="00472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8A5"/>
  </w:style>
  <w:style w:type="character" w:customStyle="1" w:styleId="10">
    <w:name w:val="Заголовок 1 Знак"/>
    <w:basedOn w:val="a0"/>
    <w:link w:val="1"/>
    <w:uiPriority w:val="9"/>
    <w:rsid w:val="004728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551</Words>
  <Characters>3146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2017-03-20T08:35:00Z</dcterms:created>
  <dcterms:modified xsi:type="dcterms:W3CDTF">2017-04-07T08:46:00Z</dcterms:modified>
</cp:coreProperties>
</file>