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94" w:rsidRPr="007A2B8D" w:rsidRDefault="005A5594" w:rsidP="005A5594">
      <w:pPr>
        <w:widowControl w:val="0"/>
        <w:tabs>
          <w:tab w:val="left" w:pos="851"/>
          <w:tab w:val="left" w:pos="2520"/>
        </w:tabs>
        <w:spacing w:line="276" w:lineRule="auto"/>
        <w:jc w:val="right"/>
        <w:rPr>
          <w:rFonts w:eastAsia="Times New Roman"/>
          <w:b/>
          <w:sz w:val="28"/>
          <w:szCs w:val="28"/>
        </w:rPr>
      </w:pPr>
    </w:p>
    <w:p w:rsidR="005A5594" w:rsidRDefault="005A5594" w:rsidP="005A5594">
      <w:pPr>
        <w:widowControl w:val="0"/>
        <w:tabs>
          <w:tab w:val="left" w:pos="851"/>
          <w:tab w:val="left" w:pos="2520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Др_</w:t>
      </w:r>
      <w:r w:rsidRPr="007A2B8D">
        <w:rPr>
          <w:rFonts w:eastAsia="Times New Roman"/>
          <w:b/>
          <w:sz w:val="28"/>
          <w:szCs w:val="28"/>
        </w:rPr>
        <w:t>Профессиональные</w:t>
      </w:r>
      <w:proofErr w:type="spellEnd"/>
      <w:r w:rsidRPr="007A2B8D">
        <w:rPr>
          <w:rFonts w:eastAsia="Times New Roman"/>
          <w:b/>
          <w:sz w:val="28"/>
          <w:szCs w:val="28"/>
        </w:rPr>
        <w:t xml:space="preserve"> суждения бухгалтера и его значение в управлении организации</w:t>
      </w:r>
    </w:p>
    <w:p w:rsidR="005A5594" w:rsidRDefault="005A5594" w:rsidP="005A5594">
      <w:pPr>
        <w:widowControl w:val="0"/>
        <w:tabs>
          <w:tab w:val="left" w:pos="851"/>
          <w:tab w:val="left" w:pos="2520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Стр-70</w:t>
      </w:r>
    </w:p>
    <w:p w:rsidR="005A5594" w:rsidRPr="0079759B" w:rsidRDefault="005A5594" w:rsidP="00362D4C">
      <w:pPr>
        <w:pStyle w:val="11"/>
        <w:widowControl w:val="0"/>
        <w:spacing w:before="0" w:line="240" w:lineRule="auto"/>
        <w:jc w:val="center"/>
      </w:pPr>
    </w:p>
    <w:p w:rsidR="005A5594" w:rsidRPr="00B96D4F" w:rsidRDefault="005A5594" w:rsidP="005A5594">
      <w:pPr>
        <w:ind w:right="849"/>
        <w:jc w:val="both"/>
        <w:rPr>
          <w:caps/>
          <w:sz w:val="28"/>
          <w:szCs w:val="28"/>
        </w:rPr>
      </w:pPr>
    </w:p>
    <w:p w:rsidR="005A5594" w:rsidRPr="00B96D4F" w:rsidRDefault="005A5594" w:rsidP="005A5594">
      <w:pPr>
        <w:pStyle w:val="12"/>
        <w:ind w:right="849"/>
        <w:jc w:val="both"/>
        <w:rPr>
          <w:rStyle w:val="a3"/>
          <w:noProof/>
          <w:sz w:val="28"/>
          <w:szCs w:val="28"/>
        </w:rPr>
      </w:pPr>
      <w:r w:rsidRPr="00B96D4F">
        <w:rPr>
          <w:sz w:val="28"/>
          <w:szCs w:val="28"/>
        </w:rPr>
        <w:fldChar w:fldCharType="begin"/>
      </w:r>
      <w:r w:rsidRPr="00B96D4F">
        <w:rPr>
          <w:sz w:val="28"/>
          <w:szCs w:val="28"/>
        </w:rPr>
        <w:instrText xml:space="preserve"> TOC \o "1-3" \h \z \u </w:instrText>
      </w:r>
      <w:r w:rsidRPr="00B96D4F">
        <w:rPr>
          <w:sz w:val="28"/>
          <w:szCs w:val="28"/>
        </w:rPr>
        <w:fldChar w:fldCharType="separate"/>
      </w:r>
      <w:hyperlink w:anchor="_Toc451270010" w:history="1">
        <w:r w:rsidRPr="00B96D4F">
          <w:rPr>
            <w:rStyle w:val="a3"/>
            <w:noProof/>
            <w:sz w:val="28"/>
            <w:szCs w:val="28"/>
          </w:rPr>
          <w:t>ВВЕДЕНИЕ</w:t>
        </w:r>
      </w:hyperlink>
    </w:p>
    <w:p w:rsidR="005A5594" w:rsidRPr="00B96D4F" w:rsidRDefault="005A5594" w:rsidP="005A5594">
      <w:pPr>
        <w:rPr>
          <w:noProof/>
          <w:sz w:val="28"/>
          <w:szCs w:val="28"/>
        </w:rPr>
      </w:pPr>
    </w:p>
    <w:p w:rsidR="005A5594" w:rsidRPr="00B96D4F" w:rsidRDefault="00832C02" w:rsidP="005A5594">
      <w:pPr>
        <w:pStyle w:val="12"/>
        <w:ind w:right="849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51270011" w:history="1">
        <w:r w:rsidR="005A5594" w:rsidRPr="00B96D4F">
          <w:rPr>
            <w:rStyle w:val="a3"/>
            <w:noProof/>
            <w:sz w:val="28"/>
            <w:szCs w:val="28"/>
          </w:rPr>
          <w:t>1 УПРАВЛЕНИЕ ОРГАНИЗАЦИЕЙ</w:t>
        </w:r>
      </w:hyperlink>
    </w:p>
    <w:p w:rsidR="005A5594" w:rsidRPr="00B96D4F" w:rsidRDefault="00832C02" w:rsidP="005A5594">
      <w:pPr>
        <w:pStyle w:val="2"/>
        <w:ind w:right="849"/>
        <w:jc w:val="both"/>
        <w:rPr>
          <w:rFonts w:ascii="Calibri" w:hAnsi="Calibri"/>
        </w:rPr>
      </w:pPr>
      <w:hyperlink w:anchor="_Toc451270012" w:history="1">
        <w:r w:rsidR="005A5594" w:rsidRPr="00B96D4F">
          <w:rPr>
            <w:rStyle w:val="a3"/>
          </w:rPr>
          <w:t>1.1 Понятие и сущность системы управления организацией</w:t>
        </w:r>
      </w:hyperlink>
    </w:p>
    <w:p w:rsidR="005A5594" w:rsidRPr="00B96D4F" w:rsidRDefault="005A5594" w:rsidP="005A5594">
      <w:pPr>
        <w:pStyle w:val="2"/>
        <w:ind w:right="849"/>
        <w:jc w:val="both"/>
        <w:rPr>
          <w:rStyle w:val="a3"/>
        </w:rPr>
      </w:pPr>
      <w:r w:rsidRPr="00B96D4F">
        <w:rPr>
          <w:color w:val="0563C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106680</wp:posOffset>
                </wp:positionV>
                <wp:extent cx="266700" cy="3762375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94" w:rsidRDefault="005A5594" w:rsidP="005A5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43.7pt;margin-top:8.4pt;width:21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" stroked="f">
                <v:textbox>
                  <w:txbxContent>
                    <w:p w:rsidR="005A5594" w:rsidRDefault="005A5594" w:rsidP="005A55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w:anchor="_Toc451270013" w:history="1">
        <w:r w:rsidRPr="00B96D4F">
          <w:rPr>
            <w:rStyle w:val="a3"/>
          </w:rPr>
          <w:t>1.2 Роль и значение бухгалтерского учета в системе управления</w:t>
        </w:r>
      </w:hyperlink>
    </w:p>
    <w:p w:rsidR="005A5594" w:rsidRPr="00B96D4F" w:rsidRDefault="005A5594" w:rsidP="005A5594">
      <w:pPr>
        <w:rPr>
          <w:noProof/>
          <w:sz w:val="28"/>
          <w:szCs w:val="28"/>
        </w:rPr>
      </w:pPr>
    </w:p>
    <w:p w:rsidR="005A5594" w:rsidRPr="00B96D4F" w:rsidRDefault="00832C02" w:rsidP="005A5594">
      <w:pPr>
        <w:pStyle w:val="12"/>
        <w:ind w:right="849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51270014" w:history="1">
        <w:r w:rsidR="005A5594" w:rsidRPr="00B96D4F">
          <w:rPr>
            <w:rStyle w:val="a3"/>
            <w:noProof/>
            <w:sz w:val="28"/>
            <w:szCs w:val="28"/>
          </w:rPr>
          <w:t>2 ПОНЯТИЕ И СОДЕРЖАНИЕ ПРОФЕССИОНАЛЬНОГО БУХГАЛТЕРСКОГО СУЖДЕНИЯ В СИСТЕМЕ УПРАВЛЕНИЯ</w:t>
        </w:r>
      </w:hyperlink>
    </w:p>
    <w:p w:rsidR="005A5594" w:rsidRPr="00B96D4F" w:rsidRDefault="00832C02" w:rsidP="005A5594">
      <w:pPr>
        <w:pStyle w:val="2"/>
        <w:ind w:right="849"/>
        <w:jc w:val="both"/>
        <w:rPr>
          <w:rFonts w:ascii="Calibri" w:hAnsi="Calibri"/>
        </w:rPr>
      </w:pPr>
      <w:hyperlink w:anchor="_Toc451270015" w:history="1">
        <w:r w:rsidR="005A5594" w:rsidRPr="00B96D4F">
          <w:rPr>
            <w:rStyle w:val="a3"/>
          </w:rPr>
          <w:t>2.1 Место бухгалтерского суждения в управлении организацией</w:t>
        </w:r>
      </w:hyperlink>
    </w:p>
    <w:p w:rsidR="005A5594" w:rsidRPr="00B96D4F" w:rsidRDefault="00832C02" w:rsidP="005A5594">
      <w:pPr>
        <w:pStyle w:val="2"/>
        <w:ind w:right="849"/>
        <w:jc w:val="both"/>
        <w:rPr>
          <w:rFonts w:ascii="Calibri" w:hAnsi="Calibri"/>
        </w:rPr>
      </w:pPr>
      <w:hyperlink w:anchor="_Toc451270016" w:history="1">
        <w:r w:rsidR="005A5594" w:rsidRPr="00B96D4F">
          <w:rPr>
            <w:rStyle w:val="a3"/>
          </w:rPr>
          <w:t>2.2 Профессиональное суждение бухгалтера: понятие, сущность и содержание</w:t>
        </w:r>
      </w:hyperlink>
    </w:p>
    <w:p w:rsidR="005A5594" w:rsidRPr="00B96D4F" w:rsidRDefault="00832C02" w:rsidP="005A5594">
      <w:pPr>
        <w:pStyle w:val="2"/>
        <w:ind w:right="849"/>
        <w:jc w:val="both"/>
        <w:rPr>
          <w:rFonts w:ascii="Calibri" w:hAnsi="Calibri"/>
        </w:rPr>
      </w:pPr>
      <w:hyperlink w:anchor="_Toc451270017" w:history="1">
        <w:r w:rsidR="005A5594" w:rsidRPr="00B96D4F">
          <w:rPr>
            <w:rStyle w:val="a3"/>
          </w:rPr>
          <w:t>2.3 Применение профессионального суждения в учетных процедурах оценки активов, в расчетах и отчетности</w:t>
        </w:r>
      </w:hyperlink>
    </w:p>
    <w:p w:rsidR="005A5594" w:rsidRPr="00B96D4F" w:rsidRDefault="00832C02" w:rsidP="005A5594">
      <w:pPr>
        <w:pStyle w:val="2"/>
        <w:ind w:right="849"/>
        <w:jc w:val="both"/>
        <w:rPr>
          <w:rFonts w:ascii="Calibri" w:hAnsi="Calibri"/>
        </w:rPr>
      </w:pPr>
      <w:hyperlink w:anchor="_Toc451270018" w:history="1">
        <w:r w:rsidR="005A5594" w:rsidRPr="00B96D4F">
          <w:rPr>
            <w:rStyle w:val="a3"/>
          </w:rPr>
          <w:t>2.4 Профессиональное суждение, оценка предприятия, учетная политика</w:t>
        </w:r>
      </w:hyperlink>
    </w:p>
    <w:p w:rsidR="005A5594" w:rsidRPr="00B96D4F" w:rsidRDefault="00832C02" w:rsidP="005A5594">
      <w:pPr>
        <w:pStyle w:val="2"/>
        <w:ind w:right="849"/>
        <w:jc w:val="both"/>
        <w:rPr>
          <w:rStyle w:val="a3"/>
        </w:rPr>
      </w:pPr>
      <w:hyperlink w:anchor="_Toc451270019" w:history="1">
        <w:r w:rsidR="005A5594" w:rsidRPr="00B96D4F">
          <w:rPr>
            <w:rStyle w:val="a3"/>
          </w:rPr>
          <w:t>2.5 Проблемы места, роли и содержания профессиональных суждений бухгалтера</w:t>
        </w:r>
      </w:hyperlink>
    </w:p>
    <w:p w:rsidR="005A5594" w:rsidRPr="00B96D4F" w:rsidRDefault="005A5594" w:rsidP="005A5594">
      <w:pPr>
        <w:rPr>
          <w:noProof/>
          <w:sz w:val="28"/>
          <w:szCs w:val="28"/>
        </w:rPr>
      </w:pPr>
    </w:p>
    <w:p w:rsidR="005A5594" w:rsidRPr="00B96D4F" w:rsidRDefault="00832C02" w:rsidP="005A5594">
      <w:pPr>
        <w:pStyle w:val="12"/>
        <w:ind w:right="849"/>
        <w:jc w:val="both"/>
        <w:rPr>
          <w:rStyle w:val="a3"/>
          <w:noProof/>
          <w:sz w:val="28"/>
          <w:szCs w:val="28"/>
        </w:rPr>
      </w:pPr>
      <w:hyperlink w:anchor="_Toc451270020" w:history="1">
        <w:r w:rsidR="005A5594" w:rsidRPr="00B96D4F">
          <w:rPr>
            <w:rStyle w:val="a3"/>
            <w:noProof/>
            <w:sz w:val="28"/>
            <w:szCs w:val="28"/>
          </w:rPr>
          <w:t>ЗАКЛЮЧЕНИЕ</w:t>
        </w:r>
      </w:hyperlink>
    </w:p>
    <w:p w:rsidR="005A5594" w:rsidRPr="00B96D4F" w:rsidRDefault="005A5594" w:rsidP="005A5594">
      <w:pPr>
        <w:rPr>
          <w:noProof/>
          <w:sz w:val="28"/>
          <w:szCs w:val="28"/>
        </w:rPr>
      </w:pPr>
    </w:p>
    <w:p w:rsidR="005A5594" w:rsidRPr="00B96D4F" w:rsidRDefault="00832C02" w:rsidP="005A5594">
      <w:pPr>
        <w:pStyle w:val="12"/>
        <w:ind w:right="849"/>
        <w:jc w:val="both"/>
        <w:rPr>
          <w:rStyle w:val="a3"/>
          <w:noProof/>
          <w:sz w:val="28"/>
          <w:szCs w:val="28"/>
        </w:rPr>
      </w:pPr>
      <w:hyperlink w:anchor="_Toc451270021" w:history="1">
        <w:r w:rsidR="005A5594" w:rsidRPr="00B96D4F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5A5594" w:rsidRPr="00B96D4F" w:rsidRDefault="005A5594" w:rsidP="005A5594">
      <w:pPr>
        <w:rPr>
          <w:noProof/>
          <w:sz w:val="28"/>
          <w:szCs w:val="28"/>
        </w:rPr>
      </w:pPr>
    </w:p>
    <w:p w:rsidR="005A5594" w:rsidRDefault="005A5594" w:rsidP="005A5594">
      <w:pPr>
        <w:rPr>
          <w:b/>
          <w:bCs/>
          <w:sz w:val="28"/>
          <w:szCs w:val="28"/>
        </w:rPr>
      </w:pPr>
      <w:r w:rsidRPr="00B96D4F">
        <w:rPr>
          <w:b/>
          <w:bCs/>
          <w:sz w:val="28"/>
          <w:szCs w:val="28"/>
        </w:rPr>
        <w:fldChar w:fldCharType="end"/>
      </w:r>
    </w:p>
    <w:p w:rsidR="005A5594" w:rsidRDefault="005A559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5594" w:rsidRPr="005A5594" w:rsidRDefault="005A5594" w:rsidP="005A5594">
      <w:pPr>
        <w:keepNext/>
        <w:keepLines/>
        <w:ind w:firstLine="567"/>
        <w:jc w:val="both"/>
        <w:outlineLvl w:val="0"/>
        <w:rPr>
          <w:caps/>
          <w:sz w:val="28"/>
          <w:szCs w:val="32"/>
        </w:rPr>
      </w:pPr>
      <w:bookmarkStart w:id="0" w:name="_Toc446571678"/>
      <w:bookmarkStart w:id="1" w:name="_Toc451270020"/>
      <w:r w:rsidRPr="005A5594">
        <w:rPr>
          <w:caps/>
          <w:sz w:val="28"/>
          <w:szCs w:val="32"/>
        </w:rPr>
        <w:lastRenderedPageBreak/>
        <w:t>ЗАКЛЮЧЕНИЕ</w:t>
      </w:r>
      <w:bookmarkEnd w:id="0"/>
      <w:bookmarkEnd w:id="1"/>
    </w:p>
    <w:p w:rsidR="005A5594" w:rsidRPr="005A5594" w:rsidRDefault="005A5594" w:rsidP="005A5594">
      <w:pPr>
        <w:widowControl w:val="0"/>
        <w:ind w:firstLine="567"/>
        <w:jc w:val="both"/>
        <w:rPr>
          <w:sz w:val="28"/>
          <w:szCs w:val="28"/>
        </w:rPr>
      </w:pPr>
    </w:p>
    <w:p w:rsidR="005A5594" w:rsidRPr="005A5594" w:rsidRDefault="005A5594" w:rsidP="005A5594">
      <w:pPr>
        <w:widowControl w:val="0"/>
        <w:ind w:firstLine="567"/>
        <w:jc w:val="both"/>
        <w:rPr>
          <w:sz w:val="28"/>
          <w:szCs w:val="28"/>
        </w:rPr>
      </w:pPr>
    </w:p>
    <w:p w:rsidR="005A5594" w:rsidRPr="005A5594" w:rsidRDefault="005A5594" w:rsidP="005A5594">
      <w:pPr>
        <w:widowControl w:val="0"/>
        <w:autoSpaceDE w:val="0"/>
        <w:autoSpaceDN w:val="0"/>
        <w:adjustRightInd w:val="0"/>
        <w:spacing w:before="38"/>
        <w:ind w:firstLine="567"/>
        <w:jc w:val="both"/>
        <w:rPr>
          <w:rFonts w:eastAsia="Times New Roman"/>
          <w:sz w:val="28"/>
          <w:szCs w:val="28"/>
        </w:rPr>
      </w:pPr>
      <w:r w:rsidRPr="005A5594">
        <w:rPr>
          <w:rFonts w:eastAsia="Times New Roman"/>
          <w:sz w:val="28"/>
          <w:szCs w:val="28"/>
        </w:rPr>
        <w:t>В результате проведенного исследования сделаны соответствующие обобщения, выводы и предложения, направленные на применение профессионального бухгалтерского суждения как инструмента формирования бухгалтерской (финансовой) отчетности.</w:t>
      </w:r>
    </w:p>
    <w:p w:rsidR="005A5594" w:rsidRPr="005A5594" w:rsidRDefault="005A5594" w:rsidP="005A5594">
      <w:pPr>
        <w:widowControl w:val="0"/>
        <w:autoSpaceDE w:val="0"/>
        <w:autoSpaceDN w:val="0"/>
        <w:adjustRightInd w:val="0"/>
        <w:spacing w:before="5"/>
        <w:ind w:firstLine="567"/>
        <w:jc w:val="both"/>
        <w:rPr>
          <w:rFonts w:eastAsia="Times New Roman"/>
          <w:sz w:val="28"/>
          <w:szCs w:val="28"/>
        </w:rPr>
      </w:pPr>
      <w:r w:rsidRPr="005A5594">
        <w:rPr>
          <w:rFonts w:eastAsia="Times New Roman"/>
          <w:sz w:val="28"/>
          <w:szCs w:val="28"/>
        </w:rPr>
        <w:t>Интеграция в мировое экономическое сообщество привела к тому, что отечественный бухгалтер, подготавливая бухгалтерскую (финансовую) отчетность, должен учитывать особенности и использовать возможности как нормативного, так и профессионального регулирования для формирования достоверной информации, на основании которой пользователи смогут принимать обоснованные экономические решения.</w:t>
      </w:r>
    </w:p>
    <w:p w:rsidR="005A5594" w:rsidRDefault="005A5594" w:rsidP="005A5594"/>
    <w:p w:rsidR="005A5594" w:rsidRDefault="005A5594">
      <w:pPr>
        <w:spacing w:after="160" w:line="259" w:lineRule="auto"/>
      </w:pPr>
      <w:r>
        <w:br w:type="page"/>
      </w:r>
    </w:p>
    <w:p w:rsidR="005A5594" w:rsidRPr="005A5594" w:rsidRDefault="005A5594" w:rsidP="005A5594">
      <w:pPr>
        <w:keepNext/>
        <w:keepLines/>
        <w:ind w:firstLine="567"/>
        <w:jc w:val="center"/>
        <w:outlineLvl w:val="0"/>
        <w:rPr>
          <w:caps/>
          <w:sz w:val="28"/>
          <w:szCs w:val="32"/>
          <w:lang w:val="en-US"/>
        </w:rPr>
      </w:pPr>
      <w:bookmarkStart w:id="2" w:name="_Toc451270021"/>
      <w:bookmarkStart w:id="3" w:name="_GoBack"/>
      <w:r w:rsidRPr="005A5594">
        <w:rPr>
          <w:caps/>
          <w:sz w:val="28"/>
          <w:szCs w:val="32"/>
        </w:rPr>
        <w:lastRenderedPageBreak/>
        <w:t>СПИСОК ИСПОЛЬЗОВАННОЙ ЛИТЕРАТУРЫ</w:t>
      </w:r>
      <w:bookmarkEnd w:id="2"/>
    </w:p>
    <w:p w:rsidR="005A5594" w:rsidRPr="005A5594" w:rsidRDefault="005A5594" w:rsidP="005A5594">
      <w:pPr>
        <w:widowControl w:val="0"/>
        <w:rPr>
          <w:sz w:val="28"/>
          <w:szCs w:val="28"/>
          <w:lang w:val="en-US"/>
        </w:rPr>
      </w:pPr>
    </w:p>
    <w:p w:rsidR="005A5594" w:rsidRPr="005A5594" w:rsidRDefault="005A5594" w:rsidP="005A559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A5594" w:rsidRPr="005A5594" w:rsidRDefault="005A5594" w:rsidP="005A5594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5594">
        <w:rPr>
          <w:sz w:val="28"/>
          <w:szCs w:val="28"/>
        </w:rPr>
        <w:t xml:space="preserve">Мишин В. М. Исследование систем </w:t>
      </w:r>
      <w:proofErr w:type="gramStart"/>
      <w:r w:rsidRPr="005A5594">
        <w:rPr>
          <w:sz w:val="28"/>
          <w:szCs w:val="28"/>
        </w:rPr>
        <w:t>управления :</w:t>
      </w:r>
      <w:proofErr w:type="gramEnd"/>
      <w:r w:rsidRPr="005A5594">
        <w:rPr>
          <w:sz w:val="28"/>
          <w:szCs w:val="28"/>
        </w:rPr>
        <w:t xml:space="preserve"> учебник для вузов. – </w:t>
      </w:r>
      <w:proofErr w:type="gramStart"/>
      <w:r w:rsidRPr="005A5594">
        <w:rPr>
          <w:sz w:val="28"/>
          <w:szCs w:val="28"/>
        </w:rPr>
        <w:t>М. :</w:t>
      </w:r>
      <w:proofErr w:type="gramEnd"/>
      <w:r w:rsidRPr="005A5594">
        <w:rPr>
          <w:sz w:val="28"/>
          <w:szCs w:val="28"/>
        </w:rPr>
        <w:t xml:space="preserve"> ЮНИТИ, 2007. – 527 с.  </w:t>
      </w:r>
    </w:p>
    <w:p w:rsidR="005A5594" w:rsidRPr="005A5594" w:rsidRDefault="005A5594" w:rsidP="005A5594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5594">
        <w:rPr>
          <w:sz w:val="28"/>
          <w:szCs w:val="28"/>
        </w:rPr>
        <w:t xml:space="preserve">Моргунов Е.Б: Категория «риск», ее содержание и обоснование // Финансы. Денежное обращение. Кредит. - </w:t>
      </w:r>
      <w:proofErr w:type="gramStart"/>
      <w:r w:rsidRPr="005A5594">
        <w:rPr>
          <w:sz w:val="28"/>
          <w:szCs w:val="28"/>
        </w:rPr>
        <w:t>2011.-</w:t>
      </w:r>
      <w:proofErr w:type="gramEnd"/>
      <w:r w:rsidRPr="005A5594">
        <w:rPr>
          <w:sz w:val="28"/>
          <w:szCs w:val="28"/>
        </w:rPr>
        <w:t xml:space="preserve"> № 1. - С. 512 - 516.</w:t>
      </w:r>
    </w:p>
    <w:p w:rsidR="005A5594" w:rsidRPr="005A5594" w:rsidRDefault="005A5594" w:rsidP="005A5594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5A5594">
        <w:rPr>
          <w:sz w:val="28"/>
          <w:szCs w:val="28"/>
        </w:rPr>
        <w:t>Макашева</w:t>
      </w:r>
      <w:proofErr w:type="spellEnd"/>
      <w:r w:rsidRPr="005A5594">
        <w:rPr>
          <w:sz w:val="28"/>
          <w:szCs w:val="28"/>
        </w:rPr>
        <w:t xml:space="preserve"> З. М. Исследование систем </w:t>
      </w:r>
      <w:proofErr w:type="gramStart"/>
      <w:r w:rsidRPr="005A5594">
        <w:rPr>
          <w:sz w:val="28"/>
          <w:szCs w:val="28"/>
        </w:rPr>
        <w:t>управления :</w:t>
      </w:r>
      <w:proofErr w:type="gramEnd"/>
      <w:r w:rsidRPr="005A5594">
        <w:rPr>
          <w:sz w:val="28"/>
          <w:szCs w:val="28"/>
        </w:rPr>
        <w:t xml:space="preserve"> учеб. </w:t>
      </w:r>
      <w:proofErr w:type="spellStart"/>
      <w:r w:rsidRPr="005A5594">
        <w:rPr>
          <w:sz w:val="28"/>
          <w:szCs w:val="28"/>
        </w:rPr>
        <w:t>пособ</w:t>
      </w:r>
      <w:proofErr w:type="spellEnd"/>
      <w:r w:rsidRPr="005A5594">
        <w:rPr>
          <w:sz w:val="28"/>
          <w:szCs w:val="28"/>
        </w:rPr>
        <w:t xml:space="preserve">. – </w:t>
      </w:r>
      <w:proofErr w:type="gramStart"/>
      <w:r w:rsidRPr="005A5594">
        <w:rPr>
          <w:sz w:val="28"/>
          <w:szCs w:val="28"/>
        </w:rPr>
        <w:t>М. :</w:t>
      </w:r>
      <w:proofErr w:type="gramEnd"/>
      <w:r w:rsidRPr="005A5594">
        <w:rPr>
          <w:sz w:val="28"/>
          <w:szCs w:val="28"/>
        </w:rPr>
        <w:t xml:space="preserve"> КНОРУС, 2009. – 175 с.</w:t>
      </w:r>
    </w:p>
    <w:p w:rsidR="005A5594" w:rsidRPr="005A5594" w:rsidRDefault="005A5594" w:rsidP="005A5594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5A5594">
        <w:rPr>
          <w:sz w:val="28"/>
          <w:szCs w:val="28"/>
        </w:rPr>
        <w:t>Нурсеитов</w:t>
      </w:r>
      <w:proofErr w:type="spellEnd"/>
      <w:r w:rsidRPr="005A5594">
        <w:rPr>
          <w:sz w:val="28"/>
          <w:szCs w:val="28"/>
        </w:rPr>
        <w:t xml:space="preserve"> Э.О. Бухгалтерский учет в организациях/ Учебное </w:t>
      </w:r>
      <w:proofErr w:type="gramStart"/>
      <w:r w:rsidRPr="005A5594">
        <w:rPr>
          <w:sz w:val="28"/>
          <w:szCs w:val="28"/>
        </w:rPr>
        <w:t>пособие.-</w:t>
      </w:r>
      <w:proofErr w:type="gramEnd"/>
      <w:r w:rsidRPr="005A5594">
        <w:rPr>
          <w:sz w:val="28"/>
          <w:szCs w:val="28"/>
        </w:rPr>
        <w:t>Алматы, 2006.-472с.</w:t>
      </w:r>
    </w:p>
    <w:p w:rsidR="005A5594" w:rsidRPr="005A5594" w:rsidRDefault="005A5594" w:rsidP="005A5594">
      <w:pPr>
        <w:widowControl w:val="0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5594">
        <w:rPr>
          <w:sz w:val="28"/>
          <w:szCs w:val="28"/>
        </w:rPr>
        <w:t xml:space="preserve">Концепция развития системы бухгалтерского учета и аудита в Республике Казахстан на 2016-2018 гг. </w:t>
      </w:r>
    </w:p>
    <w:bookmarkEnd w:id="3"/>
    <w:p w:rsidR="00FE4477" w:rsidRDefault="00832C02" w:rsidP="005A5594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2F46"/>
    <w:multiLevelType w:val="hybridMultilevel"/>
    <w:tmpl w:val="64CA0CDA"/>
    <w:lvl w:ilvl="0" w:tplc="FFE22F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2"/>
    <w:rsid w:val="00362D4C"/>
    <w:rsid w:val="005A5594"/>
    <w:rsid w:val="00704E55"/>
    <w:rsid w:val="00832C02"/>
    <w:rsid w:val="00D927C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46F0"/>
  <w15:chartTrackingRefBased/>
  <w15:docId w15:val="{2C8548FA-3890-47BA-B660-367D89C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оглавления1"/>
    <w:basedOn w:val="1"/>
    <w:next w:val="a"/>
    <w:semiHidden/>
    <w:rsid w:val="005A5594"/>
    <w:pPr>
      <w:spacing w:before="480" w:line="276" w:lineRule="auto"/>
      <w:ind w:firstLine="567"/>
      <w:jc w:val="both"/>
      <w:outlineLvl w:val="9"/>
    </w:pPr>
    <w:rPr>
      <w:rFonts w:ascii="Times New Roman" w:eastAsia="Calibri" w:hAnsi="Times New Roman" w:cs="Times New Roman"/>
      <w:b/>
      <w:bCs/>
      <w:caps/>
      <w:color w:val="auto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5A5594"/>
    <w:pPr>
      <w:tabs>
        <w:tab w:val="right" w:leader="dot" w:pos="9628"/>
      </w:tabs>
    </w:pPr>
  </w:style>
  <w:style w:type="paragraph" w:styleId="2">
    <w:name w:val="toc 2"/>
    <w:basedOn w:val="a"/>
    <w:next w:val="a"/>
    <w:autoRedefine/>
    <w:uiPriority w:val="39"/>
    <w:rsid w:val="005A5594"/>
    <w:pPr>
      <w:tabs>
        <w:tab w:val="right" w:leader="dot" w:pos="9628"/>
      </w:tabs>
      <w:jc w:val="right"/>
    </w:pPr>
    <w:rPr>
      <w:rFonts w:eastAsia="Times New Roman"/>
      <w:noProof/>
      <w:sz w:val="28"/>
      <w:szCs w:val="28"/>
    </w:rPr>
  </w:style>
  <w:style w:type="character" w:styleId="a3">
    <w:name w:val="Hyperlink"/>
    <w:uiPriority w:val="99"/>
    <w:rsid w:val="005A5594"/>
    <w:rPr>
      <w:rFonts w:cs="Times New Roman"/>
      <w:color w:val="0563C1"/>
      <w:u w:val="single"/>
    </w:rPr>
  </w:style>
  <w:style w:type="character" w:customStyle="1" w:styleId="FontStyle109">
    <w:name w:val="Font Style109"/>
    <w:rsid w:val="005A559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55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2017-03-20T06:55:00Z</dcterms:created>
  <dcterms:modified xsi:type="dcterms:W3CDTF">2017-04-13T10:04:00Z</dcterms:modified>
</cp:coreProperties>
</file>