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sz w:val="28"/>
          <w:szCs w:val="28"/>
        </w:rPr>
        <w:t>Гражданско-правовой договор: понятие и классификация</w:t>
      </w:r>
    </w:p>
    <w:p w:rsid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План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Введение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1 Правовые основы договора по гражданскому законодательству Республики Казахстан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1.1 Понятие договора и его особенности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1.2 Проявление свободы договора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1.3 Порядок заключения гражданско-правового договора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1.4 Изменение и расторжение гражданско-правового договора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 Виды гражданско-правовых договоров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2.1 Классификация договоров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2.2 Основные и предварительные договоры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2.3 Односторонние и взаимосвязанные договоры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2.4 Возмездные и безвозмездные договоры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2.5 Свободные и обязательные договоры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3 Проблемы гражданско-правового договора на современном этапе и пути их преодоления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Заключение</w:t>
      </w:r>
    </w:p>
    <w:p w:rsidR="00C6113F" w:rsidRPr="00C6113F" w:rsidRDefault="00C6113F" w:rsidP="00C611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113F">
        <w:rPr>
          <w:color w:val="000000"/>
          <w:sz w:val="28"/>
          <w:szCs w:val="28"/>
        </w:rPr>
        <w:t>Список использованной литературы</w:t>
      </w:r>
    </w:p>
    <w:p w:rsidR="00C23506" w:rsidRDefault="00C23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Конституция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от 30.08.1995 (с изменениями от 7 октября 2007 г.)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2.</w:t>
      </w:r>
      <w:r w:rsidRPr="00C23506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и особенная части)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 xml:space="preserve">Алексеева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Вопросы современного правового регулирования, договор о розничной купли-продажи.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 xml:space="preserve"> Правоведение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>2000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Вахнин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Нормативные ограничения усмотрения сторон по договору.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С.74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-90 //Вестник МГУ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>ер.11.Право.-1999.-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N3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.-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5.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 Гражданское право Республики Казахстан. Учебное пособие (часть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ощая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2-ое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», 1999. – 468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6.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Гражданское право Республики Казахстан: (Общая часть). Учебное пособие. /Отв. ред. Г. И.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Тулеугалиев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Мауленов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1998. –227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7.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Гражданское право. / Под ред.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Гришаева. Москва, 1999.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8.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Гражданское право. Учебник. В 2 т. /Отв. Ред.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Суханов. - М.: Изд-во БЕК.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1993.-383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9.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Демченко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Возмещение убытков, вызванных нарушением обязательств 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>.12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-13 //Предприниматель и право.-№20.-окт.-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Алматы,1998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10.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Исаченко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Исаченко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Обязательства по договорам. Опыт практического 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>комментария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 xml:space="preserve"> русских гражданских законов. СПб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>1914.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11.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Клейн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Организация договорно-хозяйственных связей. М., 1976.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12.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М. И. Брагинский, В. В.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Договорное право. К-2. – М.: «Статус», 2003.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13.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Договор купли-продажи. Киев, 1999.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14.</w:t>
      </w:r>
      <w:r w:rsidRPr="00C23506">
        <w:rPr>
          <w:rFonts w:ascii="Times New Roman" w:hAnsi="Times New Roman" w:cs="Times New Roman"/>
          <w:sz w:val="28"/>
          <w:szCs w:val="28"/>
        </w:rPr>
        <w:tab/>
        <w:t>Сделки в гражданском праве.//Предпринимательское право,№ 9, ,1996.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15.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Сергеев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., Толстой Ю. К. Гражданское право. Том 1. «Проспект». Москва, 1999.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16.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Сулейменов М. Договор в гражданском праве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: проблемы теории и практики //Мир закона.-2000.-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N6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С.2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-8.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17.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Сулейменов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Ю. Г. Гражданское право. Алматы. 2000.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18.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Сулейменов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Покровский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Право и предпринимательство 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Алматы. «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Жети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». 1994-145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19.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Сулейменов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(общая часть). Комментарий. В двух книгах. Книга 2. Алматы, 1998. 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20.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Беленков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Гражданское право. Часть первая, вторая. - А-ПРИОР, 2007. - 322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21.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Гражданское право (Общая часть): Курс лекций – Иркутск: Изд-во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БГУЭП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2008. – 374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22.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Брагинский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Договорное право: Общие положения. М.: Статут, 2008. – 847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23.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Казанцев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М.Ф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Гражданско-правовое договорное регулирование: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Цивилистическая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концепция. – Екатеринбург: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РАН, 2005. – 76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24.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Коваленко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Мохова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Гражданский процесс. Учебник. - М.: ИНФРА-М, 2008. - 448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Гражданское право: учебное пособие. – М.: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2006. – 312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26.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Толстой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Валявина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и др. Гражданское право. – М.: Проспект, 2008. 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27.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Шевчук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Гражданское право. - М.: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2009.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28.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Аникин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Содержание и осуществление субъективного </w:t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 xml:space="preserve"> права // Юрист. – 2008. – № 3.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29.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Сущность и значение риска как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категории. // Современное право. – 2007. – № 8.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30.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Бабаев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., Белов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. Гражданское право: актуальные проблемы теории и практики. – М.: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, 2008. – 993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31.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Белов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К вопросу о соотношении понятий обязательства и договора // Вестник гражданского права. – 2007. – № 4.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32.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Белов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Объект субъективного гражданского права, объект гражданского правоотношения и объект гражданского оборота: содержание и соотношение понятий // Объекты гражданского оборота: сб. ст./ Отв. ред. М. А. Рожкова. – М.: Статут, 2007. – 315 с.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33.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Брючко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Соглашение и договор: проблемы соотношения понятий и конструкций // Гражданское право. – 2008. – № 4.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34.</w:t>
      </w:r>
      <w:r w:rsidRPr="00C23506">
        <w:rPr>
          <w:rFonts w:ascii="Times New Roman" w:hAnsi="Times New Roman" w:cs="Times New Roman"/>
          <w:sz w:val="28"/>
          <w:szCs w:val="28"/>
        </w:rPr>
        <w:tab/>
        <w:t>Вавилин Е. В. Принцип гарантированного осуществления гражданских прав и исполнения обязанностей // Нотариус. – 2008. – № 4.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35.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Вавилин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Проблемы защиты гражданских прав // Бюллетень нотариальной практики. – 2008. – № 2.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36.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Гущин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В.З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Некоторые аспекты гражданско-правовой ответственности // Современное право. – 2008. – № 11.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37.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Ермолова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Ответственность в гражданском праве // Гражданское право. – 2008. – № 3.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38.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350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Договорные санкции в гражданском праве // Гражданское право. – 2009. – № 1.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39.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Ненашев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Юридические предпосылки спора о праве. // Журнал российского права. – 2007. – № 8.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40.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Нетишинская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Интерес как предпосылка возникновения договорных обязательств. // Журнал российского права. – 2006. – № 6.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41.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Огнев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Гражданско-правовая ответственность третьих лиц в обязательствах // Гражданское право. – 2008. – № 4.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42.</w:t>
      </w:r>
      <w:r w:rsidRPr="00C23506">
        <w:rPr>
          <w:rFonts w:ascii="Times New Roman" w:hAnsi="Times New Roman" w:cs="Times New Roman"/>
          <w:sz w:val="28"/>
          <w:szCs w:val="28"/>
        </w:rPr>
        <w:tab/>
        <w:t xml:space="preserve">Рыбаков 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. О функциях гражданско-правового регулирования // Гражданское право. – 2009. – № 1.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43.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law.edu.ru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/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44.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legallib.ru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/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45.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docs.pravo.ru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/</w:t>
      </w:r>
    </w:p>
    <w:p w:rsidR="00C23506" w:rsidRPr="00C23506" w:rsidRDefault="00C23506" w:rsidP="00C2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06">
        <w:rPr>
          <w:rFonts w:ascii="Times New Roman" w:hAnsi="Times New Roman" w:cs="Times New Roman"/>
          <w:sz w:val="28"/>
          <w:szCs w:val="28"/>
        </w:rPr>
        <w:t>46.</w:t>
      </w:r>
      <w:r w:rsidRPr="00C23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506">
        <w:rPr>
          <w:rFonts w:ascii="Times New Roman" w:hAnsi="Times New Roman" w:cs="Times New Roman"/>
          <w:sz w:val="28"/>
          <w:szCs w:val="28"/>
        </w:rPr>
        <w:t>www.juristlib.ru</w:t>
      </w:r>
      <w:proofErr w:type="spellEnd"/>
      <w:r w:rsidRPr="00C23506">
        <w:rPr>
          <w:rFonts w:ascii="Times New Roman" w:hAnsi="Times New Roman" w:cs="Times New Roman"/>
          <w:sz w:val="28"/>
          <w:szCs w:val="28"/>
        </w:rPr>
        <w:t>/</w:t>
      </w:r>
    </w:p>
    <w:p w:rsidR="004E49C7" w:rsidRPr="00C6113F" w:rsidRDefault="004E49C7" w:rsidP="00C6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9C7" w:rsidRPr="00C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3F"/>
    <w:rsid w:val="004E49C7"/>
    <w:rsid w:val="00C23506"/>
    <w:rsid w:val="00C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Karina</cp:lastModifiedBy>
  <cp:revision>2</cp:revision>
  <dcterms:created xsi:type="dcterms:W3CDTF">2015-03-17T09:23:00Z</dcterms:created>
  <dcterms:modified xsi:type="dcterms:W3CDTF">2015-03-17T09:25:00Z</dcterms:modified>
</cp:coreProperties>
</file>