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E1" w:rsidRDefault="006360E1" w:rsidP="006360E1">
      <w:pPr>
        <w:pStyle w:val="4"/>
        <w:jc w:val="center"/>
      </w:pPr>
      <w:r>
        <w:t>Содержание</w:t>
      </w:r>
    </w:p>
    <w:p w:rsidR="006360E1" w:rsidRDefault="006360E1" w:rsidP="006360E1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-661670</wp:posOffset>
                </wp:positionV>
                <wp:extent cx="685800" cy="6858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1pt;margin-top:-52.1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" stroked="f"/>
            </w:pict>
          </mc:Fallback>
        </mc:AlternateContent>
      </w:r>
    </w:p>
    <w:p w:rsidR="006360E1" w:rsidRDefault="006360E1" w:rsidP="006360E1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  <w:hyperlink w:anchor="_Toc325970023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6360E1" w:rsidRDefault="006360E1" w:rsidP="006360E1"/>
    <w:p w:rsidR="006360E1" w:rsidRDefault="00A42673" w:rsidP="006360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25970024" w:history="1">
        <w:r w:rsidR="006360E1">
          <w:rPr>
            <w:rStyle w:val="a3"/>
            <w:noProof/>
            <w:sz w:val="28"/>
            <w:szCs w:val="28"/>
          </w:rPr>
          <w:t xml:space="preserve">Глава 1 </w:t>
        </w:r>
        <w:r w:rsidR="006360E1">
          <w:rPr>
            <w:rStyle w:val="a3"/>
            <w:noProof/>
            <w:snapToGrid w:val="0"/>
            <w:sz w:val="28"/>
            <w:szCs w:val="28"/>
          </w:rPr>
          <w:t>Обязательство как гражданско-правовой институт</w:t>
        </w:r>
      </w:hyperlink>
    </w:p>
    <w:p w:rsidR="006360E1" w:rsidRDefault="00A42673" w:rsidP="006360E1">
      <w:pPr>
        <w:pStyle w:val="2"/>
        <w:tabs>
          <w:tab w:val="right" w:leader="dot" w:pos="9345"/>
        </w:tabs>
        <w:rPr>
          <w:noProof/>
          <w:sz w:val="28"/>
        </w:rPr>
      </w:pPr>
      <w:hyperlink w:anchor="_Toc325970025" w:history="1">
        <w:r w:rsidR="006360E1">
          <w:rPr>
            <w:rStyle w:val="a3"/>
            <w:noProof/>
            <w:sz w:val="28"/>
          </w:rPr>
          <w:t>1.1 Место обязательственного права в системе гражданского права</w:t>
        </w:r>
      </w:hyperlink>
    </w:p>
    <w:p w:rsidR="006360E1" w:rsidRDefault="00A42673" w:rsidP="006360E1">
      <w:pPr>
        <w:pStyle w:val="2"/>
        <w:tabs>
          <w:tab w:val="right" w:leader="dot" w:pos="9345"/>
        </w:tabs>
        <w:rPr>
          <w:noProof/>
          <w:sz w:val="28"/>
        </w:rPr>
      </w:pPr>
      <w:hyperlink w:anchor="_Toc325970026" w:history="1">
        <w:r w:rsidR="006360E1">
          <w:rPr>
            <w:rStyle w:val="a3"/>
            <w:noProof/>
            <w:sz w:val="28"/>
          </w:rPr>
          <w:t>1.2 Особенности обязательственного правоотношения</w:t>
        </w:r>
      </w:hyperlink>
    </w:p>
    <w:p w:rsidR="006360E1" w:rsidRDefault="00A42673" w:rsidP="006360E1">
      <w:pPr>
        <w:pStyle w:val="2"/>
        <w:tabs>
          <w:tab w:val="right" w:leader="dot" w:pos="9345"/>
        </w:tabs>
        <w:rPr>
          <w:noProof/>
          <w:sz w:val="28"/>
        </w:rPr>
      </w:pPr>
      <w:hyperlink w:anchor="_Toc325970027" w:history="1">
        <w:r w:rsidR="006360E1">
          <w:rPr>
            <w:rStyle w:val="a3"/>
            <w:noProof/>
            <w:sz w:val="28"/>
          </w:rPr>
          <w:t>1.3 Отличия обязательственного и вещного правоотношений</w:t>
        </w:r>
      </w:hyperlink>
    </w:p>
    <w:p w:rsidR="006360E1" w:rsidRDefault="00A42673" w:rsidP="006360E1">
      <w:pPr>
        <w:pStyle w:val="2"/>
        <w:tabs>
          <w:tab w:val="right" w:leader="dot" w:pos="9345"/>
        </w:tabs>
        <w:rPr>
          <w:rStyle w:val="a3"/>
          <w:noProof/>
          <w:sz w:val="28"/>
        </w:rPr>
      </w:pPr>
      <w:hyperlink w:anchor="_Toc325970028" w:history="1">
        <w:r w:rsidR="006360E1">
          <w:rPr>
            <w:rStyle w:val="a3"/>
            <w:noProof/>
            <w:sz w:val="28"/>
          </w:rPr>
          <w:t>1.4 Понятие обеспечения исполнения обязательств</w:t>
        </w:r>
      </w:hyperlink>
    </w:p>
    <w:p w:rsidR="006360E1" w:rsidRDefault="006360E1" w:rsidP="006360E1"/>
    <w:p w:rsidR="006360E1" w:rsidRDefault="00A42673" w:rsidP="006360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25970029" w:history="1">
        <w:r w:rsidR="006360E1">
          <w:rPr>
            <w:rStyle w:val="a3"/>
            <w:noProof/>
            <w:sz w:val="28"/>
            <w:szCs w:val="28"/>
          </w:rPr>
          <w:t xml:space="preserve">Глава </w:t>
        </w:r>
        <w:r w:rsidR="006360E1">
          <w:rPr>
            <w:rStyle w:val="a3"/>
            <w:noProof/>
            <w:snapToGrid w:val="0"/>
            <w:sz w:val="28"/>
            <w:szCs w:val="28"/>
          </w:rPr>
          <w:t>2 Классификация обязательственных правоотношений</w:t>
        </w:r>
      </w:hyperlink>
    </w:p>
    <w:p w:rsidR="006360E1" w:rsidRDefault="00A42673" w:rsidP="006360E1">
      <w:pPr>
        <w:pStyle w:val="2"/>
        <w:tabs>
          <w:tab w:val="right" w:leader="dot" w:pos="9345"/>
        </w:tabs>
        <w:rPr>
          <w:noProof/>
          <w:sz w:val="28"/>
        </w:rPr>
      </w:pPr>
      <w:hyperlink w:anchor="_Toc325970030" w:history="1">
        <w:r w:rsidR="006360E1">
          <w:rPr>
            <w:rStyle w:val="a3"/>
            <w:noProof/>
            <w:sz w:val="28"/>
          </w:rPr>
          <w:t>2.1 Понятие и значение системы обязательств</w:t>
        </w:r>
      </w:hyperlink>
    </w:p>
    <w:p w:rsidR="006360E1" w:rsidRDefault="00A42673" w:rsidP="006360E1">
      <w:pPr>
        <w:pStyle w:val="2"/>
        <w:tabs>
          <w:tab w:val="right" w:leader="dot" w:pos="9345"/>
        </w:tabs>
        <w:rPr>
          <w:rStyle w:val="a3"/>
          <w:noProof/>
          <w:sz w:val="28"/>
        </w:rPr>
      </w:pPr>
      <w:hyperlink w:anchor="_Toc325970031" w:history="1">
        <w:r w:rsidR="006360E1">
          <w:rPr>
            <w:rStyle w:val="a3"/>
            <w:noProof/>
            <w:sz w:val="28"/>
          </w:rPr>
          <w:t>2.2 Виды обязательств</w:t>
        </w:r>
      </w:hyperlink>
    </w:p>
    <w:p w:rsidR="006360E1" w:rsidRDefault="006360E1" w:rsidP="006360E1"/>
    <w:p w:rsidR="006360E1" w:rsidRDefault="00A42673" w:rsidP="006360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25970032" w:history="1">
        <w:r w:rsidR="006360E1">
          <w:rPr>
            <w:rStyle w:val="a3"/>
            <w:noProof/>
            <w:sz w:val="28"/>
            <w:szCs w:val="28"/>
          </w:rPr>
          <w:t>Глава 3 Понятие и основания изменения, прекращения обязательств</w:t>
        </w:r>
      </w:hyperlink>
    </w:p>
    <w:p w:rsidR="006360E1" w:rsidRDefault="00A42673" w:rsidP="006360E1">
      <w:pPr>
        <w:pStyle w:val="2"/>
        <w:tabs>
          <w:tab w:val="right" w:leader="dot" w:pos="9345"/>
        </w:tabs>
        <w:rPr>
          <w:noProof/>
          <w:sz w:val="28"/>
        </w:rPr>
      </w:pPr>
      <w:hyperlink w:anchor="_Toc325970033" w:history="1">
        <w:r w:rsidR="006360E1">
          <w:rPr>
            <w:rStyle w:val="a3"/>
            <w:noProof/>
            <w:sz w:val="28"/>
          </w:rPr>
          <w:t>3.1 Изменение обязательств</w:t>
        </w:r>
      </w:hyperlink>
    </w:p>
    <w:p w:rsidR="006360E1" w:rsidRDefault="00A42673" w:rsidP="006360E1">
      <w:pPr>
        <w:pStyle w:val="2"/>
        <w:tabs>
          <w:tab w:val="right" w:leader="dot" w:pos="9345"/>
        </w:tabs>
        <w:rPr>
          <w:rStyle w:val="a3"/>
          <w:noProof/>
          <w:sz w:val="28"/>
        </w:rPr>
      </w:pPr>
      <w:hyperlink w:anchor="_Toc325970034" w:history="1">
        <w:r w:rsidR="006360E1">
          <w:rPr>
            <w:rStyle w:val="a3"/>
            <w:noProof/>
            <w:sz w:val="28"/>
          </w:rPr>
          <w:t>3.2 Прекращение обязательств</w:t>
        </w:r>
      </w:hyperlink>
    </w:p>
    <w:p w:rsidR="006360E1" w:rsidRDefault="006360E1" w:rsidP="006360E1"/>
    <w:p w:rsidR="006360E1" w:rsidRDefault="00A42673" w:rsidP="006360E1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25970035" w:history="1">
        <w:r w:rsidR="006360E1">
          <w:rPr>
            <w:rStyle w:val="a3"/>
            <w:noProof/>
            <w:sz w:val="28"/>
            <w:szCs w:val="28"/>
          </w:rPr>
          <w:t>Заключение</w:t>
        </w:r>
      </w:hyperlink>
    </w:p>
    <w:p w:rsidR="006360E1" w:rsidRDefault="006360E1" w:rsidP="006360E1"/>
    <w:p w:rsidR="006360E1" w:rsidRDefault="00A42673" w:rsidP="006360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25970036" w:history="1">
        <w:r w:rsidR="006360E1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6360E1" w:rsidRDefault="006360E1" w:rsidP="006360E1">
      <w:pPr>
        <w:rPr>
          <w:sz w:val="28"/>
        </w:rPr>
      </w:pPr>
      <w:r>
        <w:rPr>
          <w:sz w:val="28"/>
        </w:rPr>
        <w:fldChar w:fldCharType="end"/>
      </w:r>
    </w:p>
    <w:p w:rsidR="006360E1" w:rsidRDefault="006360E1" w:rsidP="006360E1">
      <w:r>
        <w:br w:type="page"/>
      </w:r>
    </w:p>
    <w:p w:rsidR="006360E1" w:rsidRPr="006360E1" w:rsidRDefault="006360E1" w:rsidP="006360E1">
      <w:pPr>
        <w:pStyle w:val="1"/>
        <w:rPr>
          <w:rFonts w:ascii="Times New Roman" w:hAnsi="Times New Roman" w:cs="Times New Roman"/>
          <w:color w:val="auto"/>
        </w:rPr>
      </w:pPr>
      <w:bookmarkStart w:id="0" w:name="_Toc325970036"/>
      <w:r w:rsidRPr="006360E1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0"/>
    </w:p>
    <w:p w:rsidR="006360E1" w:rsidRPr="006360E1" w:rsidRDefault="006360E1" w:rsidP="006360E1">
      <w:pPr>
        <w:rPr>
          <w:sz w:val="28"/>
          <w:szCs w:val="28"/>
        </w:rPr>
      </w:pPr>
    </w:p>
    <w:p w:rsidR="006360E1" w:rsidRPr="006360E1" w:rsidRDefault="006360E1" w:rsidP="006360E1">
      <w:pPr>
        <w:pStyle w:val="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0E1">
        <w:rPr>
          <w:rFonts w:ascii="Times New Roman" w:hAnsi="Times New Roman" w:cs="Times New Roman"/>
          <w:color w:val="auto"/>
          <w:sz w:val="28"/>
          <w:szCs w:val="28"/>
        </w:rPr>
        <w:t>Нормативно-правовые акты</w:t>
      </w:r>
    </w:p>
    <w:p w:rsidR="006360E1" w:rsidRPr="006360E1" w:rsidRDefault="006360E1" w:rsidP="006360E1">
      <w:pPr>
        <w:rPr>
          <w:sz w:val="28"/>
          <w:szCs w:val="28"/>
        </w:rPr>
      </w:pPr>
    </w:p>
    <w:p w:rsidR="006360E1" w:rsidRPr="006360E1" w:rsidRDefault="006360E1" w:rsidP="006360E1">
      <w:pPr>
        <w:widowControl w:val="0"/>
        <w:numPr>
          <w:ilvl w:val="0"/>
          <w:numId w:val="1"/>
        </w:numPr>
        <w:tabs>
          <w:tab w:val="num" w:pos="960"/>
          <w:tab w:val="num" w:pos="1287"/>
        </w:tabs>
        <w:ind w:left="0" w:firstLine="582"/>
        <w:jc w:val="both"/>
        <w:rPr>
          <w:snapToGrid w:val="0"/>
          <w:sz w:val="28"/>
          <w:szCs w:val="28"/>
        </w:rPr>
      </w:pPr>
      <w:r w:rsidRPr="006360E1">
        <w:rPr>
          <w:snapToGrid w:val="0"/>
          <w:sz w:val="28"/>
          <w:szCs w:val="28"/>
        </w:rPr>
        <w:t>Гражданский кодекс Республики Казахстан.- Алматы: ТОО «</w:t>
      </w:r>
      <w:proofErr w:type="spellStart"/>
      <w:r w:rsidRPr="006360E1">
        <w:rPr>
          <w:snapToGrid w:val="0"/>
          <w:sz w:val="28"/>
          <w:szCs w:val="28"/>
        </w:rPr>
        <w:t>Баспа</w:t>
      </w:r>
      <w:proofErr w:type="spellEnd"/>
      <w:r w:rsidRPr="006360E1">
        <w:rPr>
          <w:snapToGrid w:val="0"/>
          <w:sz w:val="28"/>
          <w:szCs w:val="28"/>
        </w:rPr>
        <w:t>», 2011.- 400 с.</w:t>
      </w:r>
    </w:p>
    <w:p w:rsidR="006360E1" w:rsidRPr="006360E1" w:rsidRDefault="006360E1" w:rsidP="006360E1">
      <w:pPr>
        <w:widowControl w:val="0"/>
        <w:tabs>
          <w:tab w:val="num" w:pos="1429"/>
        </w:tabs>
        <w:jc w:val="both"/>
        <w:rPr>
          <w:snapToGrid w:val="0"/>
          <w:sz w:val="28"/>
          <w:szCs w:val="28"/>
        </w:rPr>
      </w:pPr>
    </w:p>
    <w:p w:rsidR="006360E1" w:rsidRPr="006360E1" w:rsidRDefault="006360E1" w:rsidP="006360E1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6360E1">
        <w:rPr>
          <w:rFonts w:ascii="Times New Roman" w:hAnsi="Times New Roman" w:cs="Times New Roman"/>
          <w:color w:val="auto"/>
          <w:sz w:val="28"/>
          <w:szCs w:val="28"/>
        </w:rPr>
        <w:t>Учебная литература</w:t>
      </w:r>
    </w:p>
    <w:p w:rsidR="006360E1" w:rsidRPr="006360E1" w:rsidRDefault="006360E1" w:rsidP="006360E1">
      <w:pPr>
        <w:widowControl w:val="0"/>
        <w:tabs>
          <w:tab w:val="num" w:pos="1429"/>
        </w:tabs>
        <w:jc w:val="both"/>
        <w:rPr>
          <w:snapToGrid w:val="0"/>
          <w:sz w:val="28"/>
          <w:szCs w:val="28"/>
        </w:rPr>
      </w:pPr>
    </w:p>
    <w:p w:rsidR="006360E1" w:rsidRPr="006360E1" w:rsidRDefault="006360E1" w:rsidP="006360E1">
      <w:pPr>
        <w:widowControl w:val="0"/>
        <w:numPr>
          <w:ilvl w:val="0"/>
          <w:numId w:val="1"/>
        </w:numPr>
        <w:tabs>
          <w:tab w:val="num" w:pos="960"/>
          <w:tab w:val="num" w:pos="1287"/>
        </w:tabs>
        <w:ind w:left="0" w:firstLine="582"/>
        <w:jc w:val="both"/>
        <w:rPr>
          <w:snapToGrid w:val="0"/>
          <w:sz w:val="28"/>
          <w:szCs w:val="28"/>
        </w:rPr>
      </w:pPr>
      <w:r w:rsidRPr="006360E1">
        <w:rPr>
          <w:snapToGrid w:val="0"/>
          <w:sz w:val="28"/>
          <w:szCs w:val="28"/>
        </w:rPr>
        <w:t xml:space="preserve">Гражданское право Республики Казахстан: (Общая часть). Учебное пособие. /Отв. ред. Г. И. </w:t>
      </w:r>
      <w:proofErr w:type="spellStart"/>
      <w:r w:rsidRPr="006360E1">
        <w:rPr>
          <w:snapToGrid w:val="0"/>
          <w:sz w:val="28"/>
          <w:szCs w:val="28"/>
        </w:rPr>
        <w:t>Тулеугалиев</w:t>
      </w:r>
      <w:proofErr w:type="spellEnd"/>
      <w:r w:rsidRPr="006360E1">
        <w:rPr>
          <w:snapToGrid w:val="0"/>
          <w:sz w:val="28"/>
          <w:szCs w:val="28"/>
        </w:rPr>
        <w:t xml:space="preserve">, К. С. </w:t>
      </w:r>
      <w:proofErr w:type="spellStart"/>
      <w:r w:rsidRPr="006360E1">
        <w:rPr>
          <w:snapToGrid w:val="0"/>
          <w:sz w:val="28"/>
          <w:szCs w:val="28"/>
        </w:rPr>
        <w:t>Мауленов</w:t>
      </w:r>
      <w:proofErr w:type="spellEnd"/>
      <w:r w:rsidRPr="006360E1">
        <w:rPr>
          <w:snapToGrid w:val="0"/>
          <w:sz w:val="28"/>
          <w:szCs w:val="28"/>
        </w:rPr>
        <w:t xml:space="preserve">.- Алматы: </w:t>
      </w:r>
      <w:proofErr w:type="spellStart"/>
      <w:r w:rsidRPr="006360E1">
        <w:rPr>
          <w:snapToGrid w:val="0"/>
          <w:sz w:val="28"/>
          <w:szCs w:val="28"/>
        </w:rPr>
        <w:t>Гылым</w:t>
      </w:r>
      <w:proofErr w:type="spellEnd"/>
      <w:r w:rsidRPr="006360E1">
        <w:rPr>
          <w:snapToGrid w:val="0"/>
          <w:sz w:val="28"/>
          <w:szCs w:val="28"/>
        </w:rPr>
        <w:t xml:space="preserve">. </w:t>
      </w:r>
      <w:proofErr w:type="spellStart"/>
      <w:r w:rsidRPr="006360E1">
        <w:rPr>
          <w:snapToGrid w:val="0"/>
          <w:sz w:val="28"/>
          <w:szCs w:val="28"/>
        </w:rPr>
        <w:t>Т.1</w:t>
      </w:r>
      <w:proofErr w:type="spellEnd"/>
      <w:r w:rsidRPr="006360E1">
        <w:rPr>
          <w:snapToGrid w:val="0"/>
          <w:sz w:val="28"/>
          <w:szCs w:val="28"/>
        </w:rPr>
        <w:t>, 2004. –227 с.</w:t>
      </w:r>
    </w:p>
    <w:p w:rsidR="006360E1" w:rsidRPr="006360E1" w:rsidRDefault="006360E1" w:rsidP="006360E1">
      <w:pPr>
        <w:widowControl w:val="0"/>
        <w:numPr>
          <w:ilvl w:val="0"/>
          <w:numId w:val="1"/>
        </w:numPr>
        <w:tabs>
          <w:tab w:val="num" w:pos="960"/>
          <w:tab w:val="num" w:pos="1287"/>
        </w:tabs>
        <w:ind w:left="0" w:firstLine="582"/>
        <w:jc w:val="both"/>
        <w:rPr>
          <w:snapToGrid w:val="0"/>
          <w:sz w:val="28"/>
          <w:szCs w:val="28"/>
        </w:rPr>
      </w:pPr>
      <w:r w:rsidRPr="006360E1">
        <w:rPr>
          <w:snapToGrid w:val="0"/>
          <w:sz w:val="28"/>
          <w:szCs w:val="28"/>
        </w:rPr>
        <w:t xml:space="preserve">Гражданское право Республики Казахстан: (Общая часть). Учебное пособие. /Отв. ред. Г. И. </w:t>
      </w:r>
      <w:proofErr w:type="spellStart"/>
      <w:r w:rsidRPr="006360E1">
        <w:rPr>
          <w:snapToGrid w:val="0"/>
          <w:sz w:val="28"/>
          <w:szCs w:val="28"/>
        </w:rPr>
        <w:t>Тулеугалиев</w:t>
      </w:r>
      <w:proofErr w:type="spellEnd"/>
      <w:r w:rsidRPr="006360E1">
        <w:rPr>
          <w:snapToGrid w:val="0"/>
          <w:sz w:val="28"/>
          <w:szCs w:val="28"/>
        </w:rPr>
        <w:t xml:space="preserve">, К. С. </w:t>
      </w:r>
      <w:proofErr w:type="spellStart"/>
      <w:r w:rsidRPr="006360E1">
        <w:rPr>
          <w:snapToGrid w:val="0"/>
          <w:sz w:val="28"/>
          <w:szCs w:val="28"/>
        </w:rPr>
        <w:t>Мауленов</w:t>
      </w:r>
      <w:proofErr w:type="spellEnd"/>
      <w:r w:rsidRPr="006360E1">
        <w:rPr>
          <w:snapToGrid w:val="0"/>
          <w:sz w:val="28"/>
          <w:szCs w:val="28"/>
        </w:rPr>
        <w:t xml:space="preserve">. –2-е изд., </w:t>
      </w:r>
      <w:proofErr w:type="spellStart"/>
      <w:r w:rsidRPr="006360E1">
        <w:rPr>
          <w:snapToGrid w:val="0"/>
          <w:sz w:val="28"/>
          <w:szCs w:val="28"/>
        </w:rPr>
        <w:t>перераб</w:t>
      </w:r>
      <w:proofErr w:type="spellEnd"/>
      <w:r w:rsidRPr="006360E1">
        <w:rPr>
          <w:snapToGrid w:val="0"/>
          <w:sz w:val="28"/>
          <w:szCs w:val="28"/>
        </w:rPr>
        <w:t xml:space="preserve">. и доп. - Алматы: </w:t>
      </w:r>
      <w:proofErr w:type="spellStart"/>
      <w:r w:rsidRPr="006360E1">
        <w:rPr>
          <w:snapToGrid w:val="0"/>
          <w:sz w:val="28"/>
          <w:szCs w:val="28"/>
        </w:rPr>
        <w:t>Гылым</w:t>
      </w:r>
      <w:proofErr w:type="spellEnd"/>
      <w:r w:rsidRPr="006360E1">
        <w:rPr>
          <w:snapToGrid w:val="0"/>
          <w:sz w:val="28"/>
          <w:szCs w:val="28"/>
        </w:rPr>
        <w:t xml:space="preserve">. </w:t>
      </w:r>
      <w:proofErr w:type="spellStart"/>
      <w:r w:rsidRPr="006360E1">
        <w:rPr>
          <w:snapToGrid w:val="0"/>
          <w:sz w:val="28"/>
          <w:szCs w:val="28"/>
        </w:rPr>
        <w:t>Т.1</w:t>
      </w:r>
      <w:proofErr w:type="spellEnd"/>
      <w:r w:rsidRPr="006360E1">
        <w:rPr>
          <w:snapToGrid w:val="0"/>
          <w:sz w:val="28"/>
          <w:szCs w:val="28"/>
        </w:rPr>
        <w:t>, 2005. –227 с.</w:t>
      </w:r>
    </w:p>
    <w:p w:rsidR="006360E1" w:rsidRPr="006360E1" w:rsidRDefault="006360E1" w:rsidP="006360E1">
      <w:pPr>
        <w:widowControl w:val="0"/>
        <w:numPr>
          <w:ilvl w:val="0"/>
          <w:numId w:val="1"/>
        </w:numPr>
        <w:tabs>
          <w:tab w:val="num" w:pos="960"/>
          <w:tab w:val="num" w:pos="1287"/>
        </w:tabs>
        <w:ind w:left="0" w:firstLine="582"/>
        <w:jc w:val="both"/>
        <w:rPr>
          <w:snapToGrid w:val="0"/>
          <w:sz w:val="28"/>
          <w:szCs w:val="28"/>
        </w:rPr>
      </w:pPr>
      <w:r w:rsidRPr="006360E1">
        <w:rPr>
          <w:snapToGrid w:val="0"/>
          <w:sz w:val="28"/>
          <w:szCs w:val="28"/>
        </w:rPr>
        <w:t xml:space="preserve">Гражданское право. Учебник. /Под ред. А. П. Сергеева, Ю. К. Толстого. –3-е изд., </w:t>
      </w:r>
      <w:proofErr w:type="spellStart"/>
      <w:r w:rsidRPr="006360E1">
        <w:rPr>
          <w:snapToGrid w:val="0"/>
          <w:sz w:val="28"/>
          <w:szCs w:val="28"/>
        </w:rPr>
        <w:t>перераб</w:t>
      </w:r>
      <w:proofErr w:type="spellEnd"/>
      <w:r w:rsidRPr="006360E1">
        <w:rPr>
          <w:snapToGrid w:val="0"/>
          <w:sz w:val="28"/>
          <w:szCs w:val="28"/>
        </w:rPr>
        <w:t xml:space="preserve">. и доп.-М.: ПРОСПЕКТ. </w:t>
      </w:r>
      <w:proofErr w:type="spellStart"/>
      <w:r w:rsidRPr="006360E1">
        <w:rPr>
          <w:snapToGrid w:val="0"/>
          <w:sz w:val="28"/>
          <w:szCs w:val="28"/>
        </w:rPr>
        <w:t>Ч.1</w:t>
      </w:r>
      <w:proofErr w:type="spellEnd"/>
      <w:r w:rsidRPr="006360E1">
        <w:rPr>
          <w:snapToGrid w:val="0"/>
          <w:sz w:val="28"/>
          <w:szCs w:val="28"/>
        </w:rPr>
        <w:t xml:space="preserve">, 2001.- </w:t>
      </w:r>
      <w:proofErr w:type="spellStart"/>
      <w:r w:rsidRPr="006360E1">
        <w:rPr>
          <w:snapToGrid w:val="0"/>
          <w:sz w:val="28"/>
          <w:szCs w:val="28"/>
        </w:rPr>
        <w:t>631с</w:t>
      </w:r>
      <w:proofErr w:type="spellEnd"/>
      <w:r w:rsidRPr="006360E1">
        <w:rPr>
          <w:snapToGrid w:val="0"/>
          <w:sz w:val="28"/>
          <w:szCs w:val="28"/>
        </w:rPr>
        <w:t>.</w:t>
      </w:r>
    </w:p>
    <w:p w:rsidR="006360E1" w:rsidRPr="006360E1" w:rsidRDefault="006360E1" w:rsidP="006360E1">
      <w:pPr>
        <w:widowControl w:val="0"/>
        <w:numPr>
          <w:ilvl w:val="0"/>
          <w:numId w:val="1"/>
        </w:numPr>
        <w:tabs>
          <w:tab w:val="num" w:pos="960"/>
          <w:tab w:val="num" w:pos="1287"/>
        </w:tabs>
        <w:ind w:left="0" w:firstLine="582"/>
        <w:jc w:val="both"/>
        <w:rPr>
          <w:snapToGrid w:val="0"/>
          <w:sz w:val="28"/>
          <w:szCs w:val="28"/>
        </w:rPr>
      </w:pPr>
      <w:r w:rsidRPr="006360E1">
        <w:rPr>
          <w:snapToGrid w:val="0"/>
          <w:sz w:val="28"/>
          <w:szCs w:val="28"/>
        </w:rPr>
        <w:t xml:space="preserve">Гражданское право. Учебник. В 2 т. /Отв. Ред. </w:t>
      </w:r>
      <w:proofErr w:type="spellStart"/>
      <w:r w:rsidRPr="006360E1">
        <w:rPr>
          <w:snapToGrid w:val="0"/>
          <w:sz w:val="28"/>
          <w:szCs w:val="28"/>
        </w:rPr>
        <w:t>Е.А</w:t>
      </w:r>
      <w:proofErr w:type="spellEnd"/>
      <w:r w:rsidRPr="006360E1">
        <w:rPr>
          <w:snapToGrid w:val="0"/>
          <w:sz w:val="28"/>
          <w:szCs w:val="28"/>
        </w:rPr>
        <w:t xml:space="preserve">. Суханов. - М.: Изд-во БЕК. </w:t>
      </w:r>
      <w:proofErr w:type="spellStart"/>
      <w:r w:rsidRPr="006360E1">
        <w:rPr>
          <w:snapToGrid w:val="0"/>
          <w:sz w:val="28"/>
          <w:szCs w:val="28"/>
        </w:rPr>
        <w:t>Т.1</w:t>
      </w:r>
      <w:proofErr w:type="spellEnd"/>
      <w:r w:rsidRPr="006360E1">
        <w:rPr>
          <w:snapToGrid w:val="0"/>
          <w:sz w:val="28"/>
          <w:szCs w:val="28"/>
        </w:rPr>
        <w:t>, 2003.-383 с.</w:t>
      </w:r>
    </w:p>
    <w:p w:rsidR="00B7403C" w:rsidRPr="006360E1" w:rsidRDefault="00B7403C" w:rsidP="006360E1">
      <w:bookmarkStart w:id="1" w:name="_GoBack"/>
      <w:bookmarkEnd w:id="1"/>
    </w:p>
    <w:sectPr w:rsidR="00B7403C" w:rsidRPr="0063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45F"/>
    <w:multiLevelType w:val="hybridMultilevel"/>
    <w:tmpl w:val="A0B81DC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1"/>
    <w:rsid w:val="006360E1"/>
    <w:rsid w:val="00A42673"/>
    <w:rsid w:val="00B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60E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0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6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6360E1"/>
  </w:style>
  <w:style w:type="paragraph" w:styleId="2">
    <w:name w:val="toc 2"/>
    <w:basedOn w:val="a"/>
    <w:next w:val="a"/>
    <w:autoRedefine/>
    <w:semiHidden/>
    <w:rsid w:val="006360E1"/>
    <w:pPr>
      <w:ind w:left="240"/>
    </w:pPr>
  </w:style>
  <w:style w:type="character" w:styleId="a3">
    <w:name w:val="Hyperlink"/>
    <w:basedOn w:val="a0"/>
    <w:semiHidden/>
    <w:rsid w:val="006360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60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60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60E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0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6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6360E1"/>
  </w:style>
  <w:style w:type="paragraph" w:styleId="2">
    <w:name w:val="toc 2"/>
    <w:basedOn w:val="a"/>
    <w:next w:val="a"/>
    <w:autoRedefine/>
    <w:semiHidden/>
    <w:rsid w:val="006360E1"/>
    <w:pPr>
      <w:ind w:left="240"/>
    </w:pPr>
  </w:style>
  <w:style w:type="character" w:styleId="a3">
    <w:name w:val="Hyperlink"/>
    <w:basedOn w:val="a0"/>
    <w:semiHidden/>
    <w:rsid w:val="006360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60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60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2016-05-31T09:14:00Z</dcterms:created>
  <dcterms:modified xsi:type="dcterms:W3CDTF">2016-05-31T09:14:00Z</dcterms:modified>
</cp:coreProperties>
</file>