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DB197B" w:rsidP="00DB197B">
      <w:pPr>
        <w:jc w:val="center"/>
        <w:rPr>
          <w:sz w:val="28"/>
        </w:rPr>
      </w:pPr>
      <w:r w:rsidRPr="00DB197B">
        <w:rPr>
          <w:bCs/>
          <w:sz w:val="28"/>
        </w:rPr>
        <w:t>У</w:t>
      </w:r>
      <w:r w:rsidRPr="00DB197B">
        <w:rPr>
          <w:bCs/>
          <w:sz w:val="28"/>
          <w:lang w:val="kk-KZ"/>
        </w:rPr>
        <w:t xml:space="preserve">чет денежных средств </w:t>
      </w:r>
      <w:r w:rsidRPr="00DB197B">
        <w:rPr>
          <w:sz w:val="28"/>
        </w:rPr>
        <w:t>(на примере ТОО</w:t>
      </w:r>
      <w:r w:rsidRPr="00DB197B">
        <w:rPr>
          <w:sz w:val="28"/>
        </w:rPr>
        <w:t>)</w:t>
      </w:r>
    </w:p>
    <w:p w:rsidR="00DB197B" w:rsidRDefault="00DB197B" w:rsidP="00DB197B">
      <w:pPr>
        <w:jc w:val="center"/>
        <w:rPr>
          <w:sz w:val="28"/>
        </w:rPr>
      </w:pPr>
      <w:r>
        <w:rPr>
          <w:sz w:val="28"/>
        </w:rPr>
        <w:t>Стр-29</w:t>
      </w:r>
    </w:p>
    <w:p w:rsidR="00DB197B" w:rsidRDefault="00DB197B" w:rsidP="00DB197B">
      <w:pPr>
        <w:jc w:val="center"/>
      </w:pPr>
    </w:p>
    <w:p w:rsidR="00163BF8" w:rsidRDefault="00163BF8" w:rsidP="00DB197B">
      <w:pPr>
        <w:jc w:val="center"/>
      </w:pPr>
    </w:p>
    <w:p w:rsidR="00163BF8" w:rsidRPr="00E91AEB" w:rsidRDefault="00163BF8" w:rsidP="00163BF8">
      <w:pPr>
        <w:pStyle w:val="Style1"/>
        <w:spacing w:before="67" w:line="360" w:lineRule="auto"/>
        <w:jc w:val="center"/>
        <w:rPr>
          <w:sz w:val="28"/>
          <w:szCs w:val="28"/>
        </w:rPr>
      </w:pPr>
      <w:bookmarkStart w:id="0" w:name="_Toc345583370"/>
      <w:bookmarkStart w:id="1" w:name="_Toc345585761"/>
      <w:bookmarkStart w:id="2" w:name="_Toc345583371"/>
      <w:bookmarkStart w:id="3" w:name="_Toc345585762"/>
      <w:r w:rsidRPr="00E91AEB">
        <w:rPr>
          <w:sz w:val="28"/>
          <w:szCs w:val="28"/>
        </w:rPr>
        <w:t>Содержание</w:t>
      </w:r>
      <w:bookmarkEnd w:id="0"/>
      <w:bookmarkEnd w:id="1"/>
      <w:bookmarkEnd w:id="2"/>
      <w:bookmarkEnd w:id="3"/>
    </w:p>
    <w:p w:rsidR="00163BF8" w:rsidRDefault="00163BF8" w:rsidP="00163BF8">
      <w:pPr>
        <w:pStyle w:val="11"/>
        <w:widowControl w:val="0"/>
        <w:tabs>
          <w:tab w:val="right" w:leader="dot" w:pos="9498"/>
        </w:tabs>
        <w:ind w:right="566"/>
        <w:rPr>
          <w:color w:val="000000"/>
          <w:sz w:val="28"/>
          <w:szCs w:val="28"/>
        </w:rPr>
      </w:pPr>
    </w:p>
    <w:p w:rsidR="00163BF8" w:rsidRPr="000E336A" w:rsidRDefault="00163BF8" w:rsidP="00163BF8">
      <w:pPr>
        <w:pStyle w:val="11"/>
        <w:tabs>
          <w:tab w:val="right" w:leader="dot" w:pos="9498"/>
        </w:tabs>
        <w:ind w:right="566"/>
        <w:rPr>
          <w:rFonts w:ascii="Calibri" w:hAnsi="Calibri"/>
          <w:noProof/>
          <w:sz w:val="28"/>
          <w:szCs w:val="28"/>
        </w:rPr>
      </w:pPr>
      <w:r w:rsidRPr="00792B0D">
        <w:rPr>
          <w:color w:val="000000"/>
          <w:sz w:val="28"/>
          <w:szCs w:val="28"/>
        </w:rPr>
        <w:fldChar w:fldCharType="begin"/>
      </w:r>
      <w:r w:rsidRPr="00792B0D">
        <w:rPr>
          <w:color w:val="000000"/>
          <w:sz w:val="28"/>
          <w:szCs w:val="28"/>
        </w:rPr>
        <w:instrText xml:space="preserve"> TOC \o "1-3" \h \z </w:instrText>
      </w:r>
      <w:r w:rsidRPr="00792B0D">
        <w:rPr>
          <w:color w:val="000000"/>
          <w:sz w:val="28"/>
          <w:szCs w:val="28"/>
        </w:rPr>
        <w:fldChar w:fldCharType="separate"/>
      </w:r>
      <w:hyperlink w:anchor="_Toc438713008" w:history="1">
        <w:r w:rsidRPr="00792B0D">
          <w:rPr>
            <w:rStyle w:val="a3"/>
            <w:noProof/>
            <w:sz w:val="28"/>
            <w:szCs w:val="28"/>
          </w:rPr>
          <w:t>Введение</w:t>
        </w:r>
      </w:hyperlink>
    </w:p>
    <w:p w:rsidR="00163BF8" w:rsidRPr="000E336A" w:rsidRDefault="00163BF8" w:rsidP="00163BF8">
      <w:pPr>
        <w:pStyle w:val="11"/>
        <w:tabs>
          <w:tab w:val="right" w:leader="dot" w:pos="9498"/>
        </w:tabs>
        <w:ind w:right="566"/>
        <w:rPr>
          <w:rFonts w:ascii="Calibri" w:hAnsi="Calibri"/>
          <w:noProof/>
          <w:sz w:val="28"/>
          <w:szCs w:val="28"/>
        </w:rPr>
      </w:pPr>
      <w:hyperlink w:anchor="_Toc438713009" w:history="1">
        <w:r w:rsidRPr="00792B0D">
          <w:rPr>
            <w:rStyle w:val="a3"/>
            <w:noProof/>
            <w:sz w:val="28"/>
            <w:szCs w:val="28"/>
          </w:rPr>
          <w:t>1 Теоретико-методологические основы учета денежных средств</w:t>
        </w:r>
      </w:hyperlink>
    </w:p>
    <w:p w:rsidR="00163BF8" w:rsidRPr="000E336A" w:rsidRDefault="00163BF8" w:rsidP="00163BF8">
      <w:pPr>
        <w:pStyle w:val="2"/>
        <w:tabs>
          <w:tab w:val="right" w:leader="dot" w:pos="9498"/>
        </w:tabs>
        <w:ind w:left="0" w:right="566"/>
        <w:rPr>
          <w:rFonts w:ascii="Calibri" w:hAnsi="Calibri"/>
          <w:noProof/>
          <w:sz w:val="28"/>
          <w:szCs w:val="28"/>
        </w:rPr>
      </w:pPr>
      <w:hyperlink w:anchor="_Toc438713010" w:history="1">
        <w:r w:rsidRPr="00792B0D">
          <w:rPr>
            <w:rStyle w:val="a3"/>
            <w:noProof/>
            <w:sz w:val="28"/>
            <w:szCs w:val="28"/>
          </w:rPr>
          <w:t>1.1 Сущность денежных средств предприятия</w:t>
        </w:r>
      </w:hyperlink>
    </w:p>
    <w:p w:rsidR="00163BF8" w:rsidRPr="000E336A" w:rsidRDefault="00163BF8" w:rsidP="00163BF8">
      <w:pPr>
        <w:pStyle w:val="2"/>
        <w:tabs>
          <w:tab w:val="right" w:leader="dot" w:pos="9498"/>
        </w:tabs>
        <w:ind w:left="0" w:right="566"/>
        <w:rPr>
          <w:rFonts w:ascii="Calibri" w:hAnsi="Calibri"/>
          <w:noProof/>
          <w:sz w:val="28"/>
          <w:szCs w:val="28"/>
        </w:rPr>
      </w:pPr>
      <w:hyperlink w:anchor="_Toc438713011" w:history="1">
        <w:r w:rsidRPr="00792B0D">
          <w:rPr>
            <w:rStyle w:val="a3"/>
            <w:noProof/>
            <w:sz w:val="28"/>
            <w:szCs w:val="28"/>
          </w:rPr>
          <w:t>1.2 Методологические аспекты организации кассового хозяйства и расчетных операций в банке</w:t>
        </w:r>
      </w:hyperlink>
    </w:p>
    <w:p w:rsidR="00163BF8" w:rsidRPr="000E336A" w:rsidRDefault="00163BF8" w:rsidP="00163BF8">
      <w:pPr>
        <w:pStyle w:val="2"/>
        <w:tabs>
          <w:tab w:val="right" w:leader="dot" w:pos="9498"/>
        </w:tabs>
        <w:ind w:left="0" w:right="566"/>
        <w:rPr>
          <w:rFonts w:ascii="Calibri" w:hAnsi="Calibri"/>
          <w:noProof/>
          <w:sz w:val="28"/>
          <w:szCs w:val="28"/>
        </w:rPr>
      </w:pPr>
      <w:hyperlink w:anchor="_Toc438713012" w:history="1">
        <w:r w:rsidRPr="00792B0D">
          <w:rPr>
            <w:rStyle w:val="a3"/>
            <w:noProof/>
            <w:sz w:val="28"/>
            <w:szCs w:val="28"/>
          </w:rPr>
          <w:t>1.3 Значение, задачи и принципы бухгалтерского учета в формировании информации о движении денег</w:t>
        </w:r>
      </w:hyperlink>
    </w:p>
    <w:p w:rsidR="00163BF8" w:rsidRPr="000E336A" w:rsidRDefault="00163BF8" w:rsidP="00163BF8">
      <w:pPr>
        <w:pStyle w:val="11"/>
        <w:tabs>
          <w:tab w:val="right" w:leader="dot" w:pos="9498"/>
        </w:tabs>
        <w:ind w:right="566"/>
        <w:rPr>
          <w:rFonts w:ascii="Calibri" w:hAnsi="Calibri"/>
          <w:noProof/>
          <w:sz w:val="28"/>
          <w:szCs w:val="28"/>
        </w:rPr>
      </w:pPr>
      <w:hyperlink w:anchor="_Toc438713013" w:history="1">
        <w:r w:rsidRPr="00792B0D">
          <w:rPr>
            <w:rStyle w:val="a3"/>
            <w:noProof/>
            <w:sz w:val="28"/>
            <w:szCs w:val="28"/>
          </w:rPr>
          <w:t>2 Действующая практика учета денежных средств предприятия</w:t>
        </w:r>
      </w:hyperlink>
    </w:p>
    <w:p w:rsidR="00163BF8" w:rsidRPr="000E336A" w:rsidRDefault="00163BF8" w:rsidP="00163BF8">
      <w:pPr>
        <w:pStyle w:val="2"/>
        <w:tabs>
          <w:tab w:val="right" w:leader="dot" w:pos="9498"/>
        </w:tabs>
        <w:ind w:left="0" w:right="566"/>
        <w:rPr>
          <w:rFonts w:ascii="Calibri" w:hAnsi="Calibri"/>
          <w:noProof/>
          <w:sz w:val="28"/>
          <w:szCs w:val="28"/>
        </w:rPr>
      </w:pPr>
      <w:hyperlink w:anchor="_Toc438713014" w:history="1">
        <w:r w:rsidRPr="00792B0D">
          <w:rPr>
            <w:rStyle w:val="a3"/>
            <w:noProof/>
            <w:sz w:val="28"/>
            <w:szCs w:val="28"/>
          </w:rPr>
          <w:t>2.1 Документальное оформление и учет денежных средств в кассе</w:t>
        </w:r>
      </w:hyperlink>
    </w:p>
    <w:p w:rsidR="00163BF8" w:rsidRPr="000E336A" w:rsidRDefault="00163BF8" w:rsidP="00163BF8">
      <w:pPr>
        <w:pStyle w:val="2"/>
        <w:tabs>
          <w:tab w:val="right" w:leader="dot" w:pos="9498"/>
        </w:tabs>
        <w:ind w:left="0" w:right="566"/>
        <w:rPr>
          <w:rFonts w:ascii="Calibri" w:hAnsi="Calibri"/>
          <w:noProof/>
          <w:sz w:val="28"/>
          <w:szCs w:val="28"/>
        </w:rPr>
      </w:pPr>
      <w:hyperlink w:anchor="_Toc438713015" w:history="1">
        <w:r w:rsidRPr="00792B0D">
          <w:rPr>
            <w:rStyle w:val="a3"/>
            <w:noProof/>
            <w:sz w:val="28"/>
            <w:szCs w:val="28"/>
          </w:rPr>
          <w:t>2.2 Документальное оформление и учет денежных средств в банке</w:t>
        </w:r>
      </w:hyperlink>
    </w:p>
    <w:p w:rsidR="00163BF8" w:rsidRPr="000E336A" w:rsidRDefault="00163BF8" w:rsidP="00163BF8">
      <w:pPr>
        <w:pStyle w:val="2"/>
        <w:tabs>
          <w:tab w:val="right" w:leader="dot" w:pos="9498"/>
        </w:tabs>
        <w:ind w:left="0" w:right="566"/>
        <w:rPr>
          <w:rFonts w:ascii="Calibri" w:hAnsi="Calibri"/>
          <w:noProof/>
          <w:sz w:val="28"/>
          <w:szCs w:val="28"/>
        </w:rPr>
      </w:pPr>
      <w:hyperlink w:anchor="_Toc438713016" w:history="1">
        <w:r w:rsidRPr="00792B0D">
          <w:rPr>
            <w:rStyle w:val="a3"/>
            <w:noProof/>
            <w:sz w:val="28"/>
            <w:szCs w:val="28"/>
          </w:rPr>
          <w:t>3 Основные направления совершенствования учета денежных средств на предприятии</w:t>
        </w:r>
      </w:hyperlink>
    </w:p>
    <w:p w:rsidR="00163BF8" w:rsidRPr="000E336A" w:rsidRDefault="00163BF8" w:rsidP="00163BF8">
      <w:pPr>
        <w:pStyle w:val="11"/>
        <w:tabs>
          <w:tab w:val="right" w:leader="dot" w:pos="9498"/>
        </w:tabs>
        <w:ind w:right="566"/>
        <w:rPr>
          <w:rFonts w:ascii="Calibri" w:hAnsi="Calibri"/>
          <w:noProof/>
          <w:sz w:val="28"/>
          <w:szCs w:val="28"/>
        </w:rPr>
      </w:pPr>
      <w:hyperlink w:anchor="_Toc438713017" w:history="1">
        <w:r w:rsidRPr="00792B0D">
          <w:rPr>
            <w:rStyle w:val="a3"/>
            <w:noProof/>
            <w:sz w:val="28"/>
            <w:szCs w:val="28"/>
          </w:rPr>
          <w:t>Заключение</w:t>
        </w:r>
      </w:hyperlink>
    </w:p>
    <w:p w:rsidR="00163BF8" w:rsidRPr="000E336A" w:rsidRDefault="00163BF8" w:rsidP="00163BF8">
      <w:pPr>
        <w:pStyle w:val="11"/>
        <w:tabs>
          <w:tab w:val="right" w:leader="dot" w:pos="9498"/>
        </w:tabs>
        <w:ind w:right="566"/>
        <w:rPr>
          <w:rFonts w:ascii="Calibri" w:hAnsi="Calibri"/>
          <w:noProof/>
          <w:sz w:val="28"/>
          <w:szCs w:val="28"/>
        </w:rPr>
      </w:pPr>
      <w:hyperlink w:anchor="_Toc438713018" w:history="1">
        <w:r w:rsidRPr="00792B0D">
          <w:rPr>
            <w:rStyle w:val="a3"/>
            <w:noProof/>
            <w:sz w:val="28"/>
            <w:szCs w:val="28"/>
          </w:rPr>
          <w:t>Список использованной литературы</w:t>
        </w:r>
      </w:hyperlink>
    </w:p>
    <w:p w:rsidR="00163BF8" w:rsidRPr="000E336A" w:rsidRDefault="00163BF8" w:rsidP="00163BF8">
      <w:pPr>
        <w:pStyle w:val="11"/>
        <w:tabs>
          <w:tab w:val="right" w:leader="dot" w:pos="9498"/>
        </w:tabs>
        <w:ind w:right="566"/>
        <w:rPr>
          <w:rFonts w:ascii="Calibri" w:hAnsi="Calibri"/>
          <w:noProof/>
          <w:sz w:val="28"/>
          <w:szCs w:val="28"/>
        </w:rPr>
      </w:pPr>
      <w:hyperlink w:anchor="_Toc438713019" w:history="1">
        <w:r w:rsidRPr="00792B0D">
          <w:rPr>
            <w:rStyle w:val="a3"/>
            <w:noProof/>
            <w:sz w:val="28"/>
            <w:szCs w:val="28"/>
          </w:rPr>
          <w:t>Приложения</w:t>
        </w:r>
      </w:hyperlink>
    </w:p>
    <w:p w:rsidR="00163BF8" w:rsidRPr="000E336A" w:rsidRDefault="00163BF8" w:rsidP="00163BF8">
      <w:pPr>
        <w:pStyle w:val="11"/>
        <w:tabs>
          <w:tab w:val="right" w:leader="dot" w:pos="9498"/>
        </w:tabs>
        <w:ind w:right="566"/>
        <w:rPr>
          <w:rFonts w:ascii="Calibri" w:hAnsi="Calibri"/>
          <w:noProof/>
          <w:sz w:val="28"/>
          <w:szCs w:val="28"/>
        </w:rPr>
      </w:pPr>
    </w:p>
    <w:p w:rsidR="00163BF8" w:rsidRDefault="00163BF8" w:rsidP="00163BF8">
      <w:pPr>
        <w:rPr>
          <w:color w:val="000000"/>
          <w:sz w:val="28"/>
          <w:szCs w:val="28"/>
        </w:rPr>
      </w:pPr>
      <w:r w:rsidRPr="00792B0D">
        <w:rPr>
          <w:color w:val="000000"/>
          <w:sz w:val="28"/>
          <w:szCs w:val="28"/>
        </w:rPr>
        <w:fldChar w:fldCharType="end"/>
      </w:r>
    </w:p>
    <w:p w:rsidR="00163BF8" w:rsidRPr="00163BF8" w:rsidRDefault="00163BF8" w:rsidP="00163BF8">
      <w:pPr>
        <w:spacing w:after="160" w:line="259" w:lineRule="auto"/>
        <w:jc w:val="center"/>
        <w:rPr>
          <w:color w:val="000000"/>
          <w:sz w:val="28"/>
          <w:szCs w:val="28"/>
        </w:rPr>
      </w:pPr>
      <w:bookmarkStart w:id="4" w:name="_Toc343865012"/>
      <w:bookmarkStart w:id="5" w:name="_Toc438713018"/>
      <w:r>
        <w:br w:type="page"/>
      </w:r>
      <w:bookmarkStart w:id="6" w:name="_Toc343865011"/>
      <w:bookmarkStart w:id="7" w:name="_Toc438713017"/>
      <w:bookmarkStart w:id="8" w:name="_GoBack"/>
      <w:r w:rsidRPr="00163BF8">
        <w:rPr>
          <w:rFonts w:cs="Arial"/>
          <w:bCs/>
          <w:kern w:val="32"/>
          <w:sz w:val="28"/>
          <w:szCs w:val="32"/>
        </w:rPr>
        <w:lastRenderedPageBreak/>
        <w:t>Заключение</w:t>
      </w:r>
      <w:bookmarkEnd w:id="6"/>
      <w:bookmarkEnd w:id="7"/>
    </w:p>
    <w:bookmarkEnd w:id="8"/>
    <w:p w:rsidR="00163BF8" w:rsidRPr="00163BF8" w:rsidRDefault="00163BF8" w:rsidP="00163BF8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pacing w:val="-4"/>
          <w:sz w:val="28"/>
          <w:szCs w:val="20"/>
        </w:rPr>
      </w:pPr>
    </w:p>
    <w:p w:rsidR="00163BF8" w:rsidRPr="00163BF8" w:rsidRDefault="00163BF8" w:rsidP="00163BF8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pacing w:val="-3"/>
          <w:sz w:val="28"/>
          <w:szCs w:val="20"/>
        </w:rPr>
      </w:pPr>
      <w:r w:rsidRPr="00163BF8">
        <w:rPr>
          <w:color w:val="000000"/>
          <w:spacing w:val="-3"/>
          <w:sz w:val="28"/>
          <w:szCs w:val="20"/>
        </w:rPr>
        <w:t>Денежные средства предприятий представляют собой совокупность денег, находящихся в кассе, на банковских расчетных, валютных, специальных и депозитных счетах, в выставленных аккредитивах и особых счетах, чековых книжках, переводах в пути и денежных документах. В широком смысле к денежным активам относятся также вложения в легкореализуемые ценные бумаги и требования на получение денежных средств.</w:t>
      </w:r>
    </w:p>
    <w:p w:rsidR="00163BF8" w:rsidRPr="00163BF8" w:rsidRDefault="00163BF8" w:rsidP="00163BF8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pacing w:val="-3"/>
          <w:sz w:val="28"/>
          <w:szCs w:val="20"/>
        </w:rPr>
      </w:pPr>
      <w:r w:rsidRPr="00163BF8">
        <w:rPr>
          <w:color w:val="000000"/>
          <w:spacing w:val="-3"/>
          <w:sz w:val="28"/>
          <w:szCs w:val="20"/>
        </w:rPr>
        <w:t>Денежные средства характеризуют начальную и конечную стадии кругооборота хозяйственных средств, скоростью движения которых во многом определяется активность всей предпринимательской деятельности. Объемом имеющихся у предприятия денег как важнейшего платежного средства определяется платежеспособность предприятия - одна из важнейших характеристик его финансового положения.</w:t>
      </w:r>
    </w:p>
    <w:p w:rsidR="00163BF8" w:rsidRPr="00163BF8" w:rsidRDefault="00163BF8" w:rsidP="00163BF8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pacing w:val="-3"/>
          <w:sz w:val="28"/>
          <w:szCs w:val="20"/>
        </w:rPr>
      </w:pPr>
      <w:r w:rsidRPr="00163BF8">
        <w:rPr>
          <w:color w:val="000000"/>
          <w:spacing w:val="-3"/>
          <w:sz w:val="28"/>
          <w:szCs w:val="20"/>
        </w:rPr>
        <w:t>Денежные средства являются единственным видом краткосрочных активов, обладающих абсолютной ликвидностью, то есть немедленной способностью выступать средством платежа по обязательс</w:t>
      </w:r>
      <w:r w:rsidRPr="00163BF8">
        <w:rPr>
          <w:color w:val="000000"/>
          <w:spacing w:val="-3"/>
          <w:sz w:val="28"/>
          <w:szCs w:val="20"/>
        </w:rPr>
        <w:t>твам предприятия.</w:t>
      </w:r>
    </w:p>
    <w:p w:rsidR="00163BF8" w:rsidRDefault="00163BF8">
      <w:pPr>
        <w:spacing w:after="160" w:line="259" w:lineRule="auto"/>
        <w:rPr>
          <w:rFonts w:cs="Arial"/>
          <w:bCs/>
          <w:kern w:val="32"/>
          <w:sz w:val="28"/>
          <w:szCs w:val="32"/>
        </w:rPr>
      </w:pPr>
      <w:r>
        <w:rPr>
          <w:rFonts w:cs="Arial"/>
          <w:bCs/>
          <w:kern w:val="32"/>
          <w:sz w:val="28"/>
          <w:szCs w:val="32"/>
        </w:rPr>
        <w:br w:type="page"/>
      </w:r>
    </w:p>
    <w:p w:rsidR="00163BF8" w:rsidRDefault="00163BF8">
      <w:pPr>
        <w:spacing w:after="160" w:line="259" w:lineRule="auto"/>
        <w:rPr>
          <w:rFonts w:cs="Arial"/>
          <w:bCs/>
          <w:kern w:val="32"/>
          <w:sz w:val="28"/>
          <w:szCs w:val="32"/>
        </w:rPr>
      </w:pPr>
    </w:p>
    <w:p w:rsidR="00163BF8" w:rsidRDefault="00163BF8" w:rsidP="00163BF8">
      <w:pPr>
        <w:pStyle w:val="1TimesNewRoman14"/>
        <w:widowControl w:val="0"/>
        <w:jc w:val="center"/>
      </w:pPr>
      <w:r>
        <w:t>Список использованной литературы</w:t>
      </w:r>
      <w:bookmarkEnd w:id="4"/>
      <w:bookmarkEnd w:id="5"/>
    </w:p>
    <w:p w:rsidR="00163BF8" w:rsidRDefault="00163BF8" w:rsidP="00163BF8">
      <w:pPr>
        <w:pStyle w:val="1TimesNewRoman14"/>
        <w:widowControl w:val="0"/>
      </w:pPr>
    </w:p>
    <w:p w:rsidR="00163BF8" w:rsidRDefault="00163BF8" w:rsidP="00163BF8">
      <w:pPr>
        <w:widowControl w:val="0"/>
        <w:numPr>
          <w:ilvl w:val="0"/>
          <w:numId w:val="1"/>
        </w:numPr>
        <w:shd w:val="clear" w:color="auto" w:fill="FFFFFF"/>
        <w:tabs>
          <w:tab w:val="clear" w:pos="1145"/>
          <w:tab w:val="num" w:pos="0"/>
          <w:tab w:val="left" w:pos="720"/>
          <w:tab w:val="left" w:pos="900"/>
          <w:tab w:val="left" w:pos="1080"/>
        </w:tabs>
        <w:ind w:left="0" w:firstLine="425"/>
        <w:jc w:val="both"/>
        <w:rPr>
          <w:color w:val="000000"/>
          <w:spacing w:val="4"/>
          <w:sz w:val="28"/>
        </w:rPr>
      </w:pPr>
      <w:proofErr w:type="spellStart"/>
      <w:r>
        <w:rPr>
          <w:color w:val="000000"/>
          <w:spacing w:val="4"/>
          <w:sz w:val="28"/>
        </w:rPr>
        <w:t>Мадиева</w:t>
      </w:r>
      <w:proofErr w:type="spellEnd"/>
      <w:r>
        <w:rPr>
          <w:color w:val="000000"/>
          <w:spacing w:val="4"/>
          <w:sz w:val="28"/>
        </w:rPr>
        <w:t xml:space="preserve"> К.С. Бухгалтерский учет и аудит: Учебно-методический комплекс. - Караганда: Издательство КЭУ, 2010. – 211с.</w:t>
      </w:r>
    </w:p>
    <w:p w:rsidR="00163BF8" w:rsidRDefault="00163BF8" w:rsidP="00163BF8">
      <w:pPr>
        <w:widowControl w:val="0"/>
        <w:numPr>
          <w:ilvl w:val="0"/>
          <w:numId w:val="1"/>
        </w:numPr>
        <w:shd w:val="clear" w:color="auto" w:fill="FFFFFF"/>
        <w:tabs>
          <w:tab w:val="clear" w:pos="1145"/>
          <w:tab w:val="num" w:pos="0"/>
          <w:tab w:val="left" w:pos="720"/>
          <w:tab w:val="left" w:pos="900"/>
          <w:tab w:val="left" w:pos="1080"/>
        </w:tabs>
        <w:ind w:left="0" w:firstLine="425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Нурсеитов</w:t>
      </w:r>
      <w:proofErr w:type="spellEnd"/>
      <w:r>
        <w:rPr>
          <w:color w:val="000000"/>
          <w:sz w:val="28"/>
        </w:rPr>
        <w:t xml:space="preserve"> Э.О. Бухгалтерский учет в организациях: Учебное пособие. – Алматы, </w:t>
      </w:r>
      <w:proofErr w:type="gramStart"/>
      <w:r>
        <w:rPr>
          <w:color w:val="000000"/>
          <w:sz w:val="28"/>
        </w:rPr>
        <w:t>2012.-</w:t>
      </w:r>
      <w:proofErr w:type="gramEnd"/>
      <w:r>
        <w:rPr>
          <w:color w:val="000000"/>
          <w:sz w:val="28"/>
        </w:rPr>
        <w:t xml:space="preserve"> 427с.</w:t>
      </w:r>
    </w:p>
    <w:p w:rsidR="00163BF8" w:rsidRDefault="00163BF8" w:rsidP="00163BF8">
      <w:pPr>
        <w:widowControl w:val="0"/>
        <w:numPr>
          <w:ilvl w:val="0"/>
          <w:numId w:val="1"/>
        </w:numPr>
        <w:shd w:val="clear" w:color="auto" w:fill="FFFFFF"/>
        <w:tabs>
          <w:tab w:val="clear" w:pos="1145"/>
          <w:tab w:val="num" w:pos="0"/>
          <w:tab w:val="left" w:pos="720"/>
          <w:tab w:val="left" w:pos="900"/>
          <w:tab w:val="left" w:pos="1080"/>
        </w:tabs>
        <w:ind w:left="0" w:firstLine="425"/>
        <w:jc w:val="both"/>
        <w:rPr>
          <w:color w:val="000000"/>
          <w:sz w:val="28"/>
        </w:rPr>
      </w:pPr>
      <w:r>
        <w:rPr>
          <w:color w:val="000000"/>
          <w:sz w:val="28"/>
          <w:szCs w:val="18"/>
        </w:rPr>
        <w:t>Правила применения контрольно-кассовых машин с фискальной памятью</w:t>
      </w:r>
      <w:r>
        <w:rPr>
          <w:color w:val="000000"/>
          <w:sz w:val="28"/>
          <w:szCs w:val="18"/>
        </w:rPr>
        <w:t>, утвержденные Постановлением Правительства Республики Казахстан №1034 от 6 августа 2001 года</w:t>
      </w:r>
    </w:p>
    <w:p w:rsidR="00163BF8" w:rsidRDefault="00163BF8" w:rsidP="00163BF8">
      <w:pPr>
        <w:widowControl w:val="0"/>
        <w:numPr>
          <w:ilvl w:val="0"/>
          <w:numId w:val="1"/>
        </w:numPr>
        <w:shd w:val="clear" w:color="auto" w:fill="FFFFFF"/>
        <w:tabs>
          <w:tab w:val="clear" w:pos="1145"/>
          <w:tab w:val="num" w:pos="0"/>
          <w:tab w:val="left" w:pos="720"/>
          <w:tab w:val="left" w:pos="900"/>
          <w:tab w:val="left" w:pos="1080"/>
        </w:tabs>
        <w:ind w:left="0" w:firstLine="425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Приказ Министерства финансов от 30.12.2008 года № 635 "Об утверждении государственного реестра контрольно-кассовых машин"</w:t>
      </w:r>
    </w:p>
    <w:p w:rsidR="00163BF8" w:rsidRDefault="00163BF8" w:rsidP="00163BF8">
      <w:pPr>
        <w:widowControl w:val="0"/>
        <w:numPr>
          <w:ilvl w:val="0"/>
          <w:numId w:val="1"/>
        </w:numPr>
        <w:shd w:val="clear" w:color="auto" w:fill="FFFFFF"/>
        <w:tabs>
          <w:tab w:val="clear" w:pos="1145"/>
          <w:tab w:val="num" w:pos="0"/>
          <w:tab w:val="left" w:pos="720"/>
          <w:tab w:val="left" w:pos="900"/>
          <w:tab w:val="left" w:pos="1080"/>
        </w:tabs>
        <w:ind w:left="0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Документооборот по учету денег и расчетов компании. – Алматы: Издательский дом «БИКО», 2011. – 32 с.</w:t>
      </w:r>
    </w:p>
    <w:p w:rsidR="00163BF8" w:rsidRPr="00DB197B" w:rsidRDefault="00163BF8" w:rsidP="00163BF8"/>
    <w:sectPr w:rsidR="00163BF8" w:rsidRPr="00DB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562E8"/>
    <w:multiLevelType w:val="hybridMultilevel"/>
    <w:tmpl w:val="550C3604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2B"/>
    <w:rsid w:val="00070B2B"/>
    <w:rsid w:val="00163BF8"/>
    <w:rsid w:val="00704E55"/>
    <w:rsid w:val="00DB197B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DE95"/>
  <w15:chartTrackingRefBased/>
  <w15:docId w15:val="{75CAD23A-6DD9-4E0A-91EF-8389CE40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3B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163BF8"/>
  </w:style>
  <w:style w:type="paragraph" w:styleId="2">
    <w:name w:val="toc 2"/>
    <w:basedOn w:val="a"/>
    <w:next w:val="a"/>
    <w:autoRedefine/>
    <w:uiPriority w:val="39"/>
    <w:rsid w:val="00163BF8"/>
    <w:pPr>
      <w:ind w:left="240"/>
    </w:pPr>
  </w:style>
  <w:style w:type="character" w:styleId="a3">
    <w:name w:val="Hyperlink"/>
    <w:uiPriority w:val="99"/>
    <w:rsid w:val="00163BF8"/>
    <w:rPr>
      <w:color w:val="0000FF"/>
      <w:u w:val="single"/>
    </w:rPr>
  </w:style>
  <w:style w:type="paragraph" w:customStyle="1" w:styleId="Style1">
    <w:name w:val="Style1"/>
    <w:basedOn w:val="a"/>
    <w:rsid w:val="00163BF8"/>
    <w:pPr>
      <w:widowControl w:val="0"/>
      <w:autoSpaceDE w:val="0"/>
      <w:autoSpaceDN w:val="0"/>
      <w:adjustRightInd w:val="0"/>
      <w:spacing w:line="648" w:lineRule="exact"/>
      <w:ind w:firstLine="206"/>
    </w:pPr>
  </w:style>
  <w:style w:type="paragraph" w:customStyle="1" w:styleId="1TimesNewRoman14">
    <w:name w:val="Стиль Заголовок 1 + Times New Roman 14 пт"/>
    <w:basedOn w:val="1"/>
    <w:rsid w:val="00163BF8"/>
    <w:pPr>
      <w:keepLines w:val="0"/>
      <w:spacing w:before="0"/>
      <w:ind w:firstLine="425"/>
    </w:pPr>
    <w:rPr>
      <w:rFonts w:ascii="Times New Roman" w:eastAsia="Times New Roman" w:hAnsi="Times New Roman" w:cs="Arial"/>
      <w:bCs/>
      <w:color w:val="auto"/>
      <w:kern w:val="32"/>
      <w:sz w:val="28"/>
    </w:rPr>
  </w:style>
  <w:style w:type="character" w:customStyle="1" w:styleId="10">
    <w:name w:val="Заголовок 1 Знак"/>
    <w:basedOn w:val="a0"/>
    <w:link w:val="1"/>
    <w:uiPriority w:val="9"/>
    <w:rsid w:val="00163B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2017-01-13T07:17:00Z</dcterms:created>
  <dcterms:modified xsi:type="dcterms:W3CDTF">2017-01-13T07:31:00Z</dcterms:modified>
</cp:coreProperties>
</file>