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FF" w:rsidRPr="00AC30FF" w:rsidRDefault="00AC30FF" w:rsidP="00AC30F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30FF">
        <w:rPr>
          <w:color w:val="000000"/>
          <w:sz w:val="28"/>
          <w:szCs w:val="28"/>
        </w:rPr>
        <w:t>Правила проведения инвентаризации и оформления ее результатов</w:t>
      </w:r>
    </w:p>
    <w:p w:rsidR="00AC30FF" w:rsidRDefault="00AC30FF" w:rsidP="00AC30F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C30FF" w:rsidRPr="00AC30FF" w:rsidRDefault="00AC30FF" w:rsidP="00AC30F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C30FF" w:rsidRPr="00AC30FF" w:rsidRDefault="00AC30FF" w:rsidP="00AC30F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30FF">
        <w:rPr>
          <w:color w:val="000000"/>
          <w:sz w:val="28"/>
          <w:szCs w:val="28"/>
        </w:rPr>
        <w:t>План</w:t>
      </w:r>
    </w:p>
    <w:p w:rsidR="00AC30FF" w:rsidRPr="00AC30FF" w:rsidRDefault="00AC30FF" w:rsidP="00AC30F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30FF">
        <w:rPr>
          <w:color w:val="000000"/>
          <w:sz w:val="28"/>
          <w:szCs w:val="28"/>
        </w:rPr>
        <w:t>Введение</w:t>
      </w:r>
    </w:p>
    <w:p w:rsidR="00AC30FF" w:rsidRPr="00AC30FF" w:rsidRDefault="00AC30FF" w:rsidP="00AC30F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30FF">
        <w:rPr>
          <w:color w:val="000000"/>
          <w:sz w:val="28"/>
          <w:szCs w:val="28"/>
        </w:rPr>
        <w:t>Основная часть</w:t>
      </w:r>
    </w:p>
    <w:p w:rsidR="00AC30FF" w:rsidRPr="00AC30FF" w:rsidRDefault="00AC30FF" w:rsidP="00AC30F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30FF">
        <w:rPr>
          <w:color w:val="000000"/>
          <w:sz w:val="28"/>
          <w:szCs w:val="28"/>
        </w:rPr>
        <w:t>1 Теоретические аспекты проведения инвентаризации на предприятии</w:t>
      </w:r>
    </w:p>
    <w:p w:rsidR="00AC30FF" w:rsidRPr="00AC30FF" w:rsidRDefault="00AC30FF" w:rsidP="00AC30F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30FF">
        <w:rPr>
          <w:color w:val="000000"/>
          <w:sz w:val="28"/>
          <w:szCs w:val="28"/>
        </w:rPr>
        <w:t>1.1</w:t>
      </w:r>
      <w:r w:rsidRPr="00AC30FF">
        <w:rPr>
          <w:color w:val="000000"/>
          <w:sz w:val="28"/>
          <w:szCs w:val="28"/>
        </w:rPr>
        <w:t xml:space="preserve"> Инвентаризация, ее значение, виды, порядок проведения</w:t>
      </w:r>
    </w:p>
    <w:p w:rsidR="00AC30FF" w:rsidRPr="00AC30FF" w:rsidRDefault="00AC30FF" w:rsidP="00AC30F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30FF">
        <w:rPr>
          <w:color w:val="000000"/>
          <w:sz w:val="28"/>
          <w:szCs w:val="28"/>
        </w:rPr>
        <w:t>1.2</w:t>
      </w:r>
      <w:r w:rsidRPr="00AC30FF">
        <w:rPr>
          <w:color w:val="000000"/>
          <w:sz w:val="28"/>
          <w:szCs w:val="28"/>
        </w:rPr>
        <w:t xml:space="preserve"> Инвентаризация основных разделов бухгалтерского учета</w:t>
      </w:r>
    </w:p>
    <w:p w:rsidR="00AC30FF" w:rsidRPr="00AC30FF" w:rsidRDefault="00AC30FF" w:rsidP="00AC30F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30FF">
        <w:rPr>
          <w:color w:val="000000"/>
          <w:sz w:val="28"/>
          <w:szCs w:val="28"/>
        </w:rPr>
        <w:t>2</w:t>
      </w:r>
      <w:r w:rsidRPr="00AC30FF">
        <w:rPr>
          <w:color w:val="000000"/>
          <w:sz w:val="28"/>
          <w:szCs w:val="28"/>
        </w:rPr>
        <w:t xml:space="preserve"> Правила и порядок проведения инвентаризации на ТОО «»</w:t>
      </w:r>
    </w:p>
    <w:p w:rsidR="00AC30FF" w:rsidRPr="00AC30FF" w:rsidRDefault="00AC30FF" w:rsidP="00AC30F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30FF">
        <w:rPr>
          <w:color w:val="000000"/>
          <w:sz w:val="28"/>
          <w:szCs w:val="28"/>
        </w:rPr>
        <w:t>2.1 Характеристика ТОО «» и особенности учетной политики в отношении инвентаризации</w:t>
      </w:r>
    </w:p>
    <w:p w:rsidR="00AC30FF" w:rsidRPr="00AC30FF" w:rsidRDefault="00AC30FF" w:rsidP="00AC30F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30FF">
        <w:rPr>
          <w:color w:val="000000"/>
          <w:sz w:val="28"/>
          <w:szCs w:val="28"/>
        </w:rPr>
        <w:t>2.2 Особенности проведения инвентаризации товаров в ТОО «»</w:t>
      </w:r>
    </w:p>
    <w:p w:rsidR="00AC30FF" w:rsidRPr="00AC30FF" w:rsidRDefault="00AC30FF" w:rsidP="00AC30F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30FF">
        <w:rPr>
          <w:color w:val="000000"/>
          <w:sz w:val="28"/>
          <w:szCs w:val="28"/>
        </w:rPr>
        <w:t>2.3 Оформление результатов инвентаризации</w:t>
      </w:r>
    </w:p>
    <w:p w:rsidR="00AC30FF" w:rsidRPr="00AC30FF" w:rsidRDefault="00AC30FF" w:rsidP="00AC30F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30FF">
        <w:rPr>
          <w:color w:val="000000"/>
          <w:sz w:val="28"/>
          <w:szCs w:val="28"/>
        </w:rPr>
        <w:t>Заключение</w:t>
      </w:r>
    </w:p>
    <w:p w:rsidR="00AC30FF" w:rsidRPr="00AC30FF" w:rsidRDefault="00AC30FF" w:rsidP="00AC30F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30FF">
        <w:rPr>
          <w:color w:val="000000"/>
          <w:sz w:val="28"/>
          <w:szCs w:val="28"/>
        </w:rPr>
        <w:t>Глоссарий</w:t>
      </w:r>
    </w:p>
    <w:p w:rsidR="00AC30FF" w:rsidRPr="00AC30FF" w:rsidRDefault="00AC30FF" w:rsidP="00AC30F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30FF">
        <w:rPr>
          <w:color w:val="000000"/>
          <w:sz w:val="28"/>
          <w:szCs w:val="28"/>
        </w:rPr>
        <w:t>Список использованных источников</w:t>
      </w:r>
    </w:p>
    <w:p w:rsidR="00AC30FF" w:rsidRPr="00AC30FF" w:rsidRDefault="00AC30FF" w:rsidP="00AC30F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30FF">
        <w:rPr>
          <w:color w:val="000000"/>
          <w:sz w:val="28"/>
          <w:szCs w:val="28"/>
        </w:rPr>
        <w:t>Приложения</w:t>
      </w:r>
    </w:p>
    <w:p w:rsidR="00AC30FF" w:rsidRDefault="00AC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289B" w:rsidRDefault="00A4289B" w:rsidP="00A42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89B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A4289B" w:rsidRPr="00A4289B" w:rsidRDefault="00A4289B" w:rsidP="00A42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289B" w:rsidRPr="00A4289B" w:rsidRDefault="00A4289B" w:rsidP="00A42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89B">
        <w:rPr>
          <w:rFonts w:ascii="Times New Roman" w:hAnsi="Times New Roman" w:cs="Times New Roman"/>
          <w:sz w:val="28"/>
          <w:szCs w:val="28"/>
        </w:rPr>
        <w:t>1</w:t>
      </w:r>
      <w:r w:rsidRPr="00A4289B">
        <w:rPr>
          <w:rFonts w:ascii="Times New Roman" w:hAnsi="Times New Roman" w:cs="Times New Roman"/>
          <w:sz w:val="28"/>
          <w:szCs w:val="28"/>
        </w:rPr>
        <w:tab/>
        <w:t>Федеральный Закон от 6.12.11 г. № 402-ФЗ «О бyхгалтерском yчете»</w:t>
      </w:r>
    </w:p>
    <w:p w:rsidR="00A4289B" w:rsidRPr="00A4289B" w:rsidRDefault="00A4289B" w:rsidP="00A42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89B">
        <w:rPr>
          <w:rFonts w:ascii="Times New Roman" w:hAnsi="Times New Roman" w:cs="Times New Roman"/>
          <w:sz w:val="28"/>
          <w:szCs w:val="28"/>
        </w:rPr>
        <w:t>2</w:t>
      </w:r>
      <w:r w:rsidRPr="00A4289B">
        <w:rPr>
          <w:rFonts w:ascii="Times New Roman" w:hAnsi="Times New Roman" w:cs="Times New Roman"/>
          <w:sz w:val="28"/>
          <w:szCs w:val="28"/>
        </w:rPr>
        <w:tab/>
        <w:t>Положения по ведению бyхгалтерского yчета и бyхгалтерской отчетности в Российской Федерации от 29 июля 1998 г. N 34н  в ред. от 24.12.10 г.</w:t>
      </w:r>
    </w:p>
    <w:p w:rsidR="00A4289B" w:rsidRPr="00A4289B" w:rsidRDefault="00A4289B" w:rsidP="00A42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89B">
        <w:rPr>
          <w:rFonts w:ascii="Times New Roman" w:hAnsi="Times New Roman" w:cs="Times New Roman"/>
          <w:sz w:val="28"/>
          <w:szCs w:val="28"/>
        </w:rPr>
        <w:t>3</w:t>
      </w:r>
      <w:r w:rsidRPr="00A4289B">
        <w:rPr>
          <w:rFonts w:ascii="Times New Roman" w:hAnsi="Times New Roman" w:cs="Times New Roman"/>
          <w:sz w:val="28"/>
          <w:szCs w:val="28"/>
        </w:rPr>
        <w:tab/>
        <w:t>План счетов, yтвержденный Приказом Минфина РФ от 31 октября 2000 г. N 94н (в редакции от 08.11.2010)</w:t>
      </w:r>
    </w:p>
    <w:p w:rsidR="00A4289B" w:rsidRPr="00A4289B" w:rsidRDefault="00A4289B" w:rsidP="00A42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89B">
        <w:rPr>
          <w:rFonts w:ascii="Times New Roman" w:hAnsi="Times New Roman" w:cs="Times New Roman"/>
          <w:sz w:val="28"/>
          <w:szCs w:val="28"/>
        </w:rPr>
        <w:t>4</w:t>
      </w:r>
      <w:r w:rsidRPr="00A4289B">
        <w:rPr>
          <w:rFonts w:ascii="Times New Roman" w:hAnsi="Times New Roman" w:cs="Times New Roman"/>
          <w:sz w:val="28"/>
          <w:szCs w:val="28"/>
        </w:rPr>
        <w:tab/>
        <w:t>Бабаев Ю.А. Теория бyхгалтерского yчета. Учебник для вузов. 2-е изд., перераб. и доп. - М.: Юнити - Дана, 2010, с 215-225</w:t>
      </w:r>
    </w:p>
    <w:p w:rsidR="00A4289B" w:rsidRPr="00A4289B" w:rsidRDefault="00A4289B" w:rsidP="00A42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89B">
        <w:rPr>
          <w:rFonts w:ascii="Times New Roman" w:hAnsi="Times New Roman" w:cs="Times New Roman"/>
          <w:sz w:val="28"/>
          <w:szCs w:val="28"/>
        </w:rPr>
        <w:t>4</w:t>
      </w:r>
      <w:r w:rsidRPr="00A4289B">
        <w:rPr>
          <w:rFonts w:ascii="Times New Roman" w:hAnsi="Times New Roman" w:cs="Times New Roman"/>
          <w:sz w:val="28"/>
          <w:szCs w:val="28"/>
        </w:rPr>
        <w:tab/>
        <w:t>Гетьман В.Г. Финансовый учет: Учебник.-М.,2010, с 109-115</w:t>
      </w:r>
    </w:p>
    <w:p w:rsidR="00A4289B" w:rsidRPr="00A4289B" w:rsidRDefault="00A4289B" w:rsidP="00A42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89B">
        <w:rPr>
          <w:rFonts w:ascii="Times New Roman" w:hAnsi="Times New Roman" w:cs="Times New Roman"/>
          <w:sz w:val="28"/>
          <w:szCs w:val="28"/>
        </w:rPr>
        <w:t>5</w:t>
      </w:r>
      <w:r w:rsidRPr="00A4289B">
        <w:rPr>
          <w:rFonts w:ascii="Times New Roman" w:hAnsi="Times New Roman" w:cs="Times New Roman"/>
          <w:sz w:val="28"/>
          <w:szCs w:val="28"/>
        </w:rPr>
        <w:tab/>
        <w:t>Киримов В.Е. Бухгалтерский финансовый учет: Учебник.- М.: «Дашков и К», 2010, с 55-62</w:t>
      </w:r>
    </w:p>
    <w:p w:rsidR="00A4289B" w:rsidRPr="00A4289B" w:rsidRDefault="00A4289B" w:rsidP="00A42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89B">
        <w:rPr>
          <w:rFonts w:ascii="Times New Roman" w:hAnsi="Times New Roman" w:cs="Times New Roman"/>
          <w:sz w:val="28"/>
          <w:szCs w:val="28"/>
        </w:rPr>
        <w:t>6</w:t>
      </w:r>
      <w:r w:rsidRPr="00A4289B">
        <w:rPr>
          <w:rFonts w:ascii="Times New Roman" w:hAnsi="Times New Roman" w:cs="Times New Roman"/>
          <w:sz w:val="28"/>
          <w:szCs w:val="28"/>
        </w:rPr>
        <w:tab/>
        <w:t>Луговой В.А. Инвентаризация, документация, отчетность – М., 2008</w:t>
      </w:r>
    </w:p>
    <w:p w:rsidR="00A4289B" w:rsidRPr="00A4289B" w:rsidRDefault="00A4289B" w:rsidP="00A42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89B">
        <w:rPr>
          <w:rFonts w:ascii="Times New Roman" w:hAnsi="Times New Roman" w:cs="Times New Roman"/>
          <w:sz w:val="28"/>
          <w:szCs w:val="28"/>
        </w:rPr>
        <w:t>7</w:t>
      </w:r>
      <w:r w:rsidRPr="00A4289B">
        <w:rPr>
          <w:rFonts w:ascii="Times New Roman" w:hAnsi="Times New Roman" w:cs="Times New Roman"/>
          <w:sz w:val="28"/>
          <w:szCs w:val="28"/>
        </w:rPr>
        <w:tab/>
        <w:t xml:space="preserve">Сац Б.В. Основы бухгалтерского учета.-М., 2010.-50с </w:t>
      </w:r>
    </w:p>
    <w:p w:rsidR="00A4289B" w:rsidRPr="00A4289B" w:rsidRDefault="00A4289B" w:rsidP="00A42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89B">
        <w:rPr>
          <w:rFonts w:ascii="Times New Roman" w:hAnsi="Times New Roman" w:cs="Times New Roman"/>
          <w:sz w:val="28"/>
          <w:szCs w:val="28"/>
        </w:rPr>
        <w:t>8</w:t>
      </w:r>
      <w:r w:rsidRPr="00A4289B">
        <w:rPr>
          <w:rFonts w:ascii="Times New Roman" w:hAnsi="Times New Roman" w:cs="Times New Roman"/>
          <w:sz w:val="28"/>
          <w:szCs w:val="28"/>
        </w:rPr>
        <w:tab/>
        <w:t>Швецкая В.М. Теория бухгалтерского учета: Учебник.- М ИНФРА-М, 2010, с 255-259</w:t>
      </w:r>
    </w:p>
    <w:p w:rsidR="00A4289B" w:rsidRPr="00A4289B" w:rsidRDefault="00A4289B" w:rsidP="00A42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89B">
        <w:rPr>
          <w:rFonts w:ascii="Times New Roman" w:hAnsi="Times New Roman" w:cs="Times New Roman"/>
          <w:sz w:val="28"/>
          <w:szCs w:val="28"/>
        </w:rPr>
        <w:t>9</w:t>
      </w:r>
      <w:r w:rsidRPr="00A4289B">
        <w:rPr>
          <w:rFonts w:ascii="Times New Roman" w:hAnsi="Times New Roman" w:cs="Times New Roman"/>
          <w:sz w:val="28"/>
          <w:szCs w:val="28"/>
        </w:rPr>
        <w:tab/>
        <w:t>Борисов А. Инвентаризация имущества и финансовых результатов// Финансовая газета - № 6,9 – 2008</w:t>
      </w:r>
    </w:p>
    <w:p w:rsidR="000C423C" w:rsidRPr="00AC30FF" w:rsidRDefault="00A4289B" w:rsidP="00A42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89B">
        <w:rPr>
          <w:rFonts w:ascii="Times New Roman" w:hAnsi="Times New Roman" w:cs="Times New Roman"/>
          <w:sz w:val="28"/>
          <w:szCs w:val="28"/>
        </w:rPr>
        <w:t>10</w:t>
      </w:r>
      <w:r w:rsidRPr="00A4289B">
        <w:rPr>
          <w:rFonts w:ascii="Times New Roman" w:hAnsi="Times New Roman" w:cs="Times New Roman"/>
          <w:sz w:val="28"/>
          <w:szCs w:val="28"/>
        </w:rPr>
        <w:tab/>
        <w:t>Соколов Я. В., Быков В. А. Инвентаризация как метод бухгалтерского учета//Бухгалтерский учет - №4 - 2010</w:t>
      </w:r>
    </w:p>
    <w:sectPr w:rsidR="000C423C" w:rsidRPr="00AC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FF"/>
    <w:rsid w:val="000C423C"/>
    <w:rsid w:val="00A4289B"/>
    <w:rsid w:val="00AC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2015-03-10T05:14:00Z</dcterms:created>
  <dcterms:modified xsi:type="dcterms:W3CDTF">2015-03-10T05:25:00Z</dcterms:modified>
</cp:coreProperties>
</file>