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0891683"/>
    <w:p w:rsidR="00191ACF" w:rsidRDefault="00191ACF" w:rsidP="00191ACF">
      <w:pPr>
        <w:pStyle w:val="1"/>
        <w:keepNext w:val="0"/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-318770</wp:posOffset>
                </wp:positionV>
                <wp:extent cx="457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CF" w:rsidRDefault="00191ACF" w:rsidP="00191ACF">
                            <w:pPr>
                              <w:pStyle w:val="a4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44.35pt;margin-top:-25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" stroked="f">
                <v:textbox>
                  <w:txbxContent>
                    <w:p w:rsidR="00191ACF" w:rsidRDefault="00191ACF" w:rsidP="00191ACF">
                      <w:pPr>
                        <w:pStyle w:val="a4"/>
                        <w:tabs>
                          <w:tab w:val="clear" w:pos="4677"/>
                          <w:tab w:val="clear" w:pos="935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t>СОДЕРЖАНИЕ</w:t>
      </w:r>
      <w:bookmarkEnd w:id="0"/>
    </w:p>
    <w:p w:rsidR="00191ACF" w:rsidRDefault="00191ACF" w:rsidP="00191ACF">
      <w:pPr>
        <w:pStyle w:val="11"/>
        <w:tabs>
          <w:tab w:val="clear" w:pos="9356"/>
          <w:tab w:val="right" w:leader="dot" w:pos="9214"/>
        </w:tabs>
        <w:rPr>
          <w:caps w:val="0"/>
          <w:szCs w:val="24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</w:instrText>
      </w:r>
      <w:r>
        <w:rPr>
          <w:b/>
          <w:bCs/>
        </w:rPr>
        <w:fldChar w:fldCharType="separate"/>
      </w:r>
    </w:p>
    <w:p w:rsidR="00191ACF" w:rsidRDefault="00ED0C19" w:rsidP="00191ACF">
      <w:pPr>
        <w:pStyle w:val="11"/>
        <w:tabs>
          <w:tab w:val="clear" w:pos="9356"/>
          <w:tab w:val="right" w:leader="dot" w:pos="9214"/>
        </w:tabs>
        <w:rPr>
          <w:rStyle w:val="a3"/>
        </w:rPr>
      </w:pPr>
      <w:hyperlink w:anchor="_Toc370891685" w:history="1">
        <w:r w:rsidR="00191ACF">
          <w:rPr>
            <w:rStyle w:val="a3"/>
          </w:rPr>
          <w:t>ВВЕДЕНИЕ</w:t>
        </w:r>
      </w:hyperlink>
    </w:p>
    <w:p w:rsidR="00191ACF" w:rsidRDefault="00191ACF" w:rsidP="00191ACF">
      <w:pPr>
        <w:tabs>
          <w:tab w:val="right" w:leader="dot" w:pos="9214"/>
        </w:tabs>
      </w:pPr>
    </w:p>
    <w:p w:rsidR="00191ACF" w:rsidRDefault="00ED0C19" w:rsidP="00191ACF">
      <w:pPr>
        <w:pStyle w:val="11"/>
        <w:tabs>
          <w:tab w:val="clear" w:pos="9356"/>
          <w:tab w:val="right" w:leader="dot" w:pos="9214"/>
        </w:tabs>
        <w:rPr>
          <w:caps w:val="0"/>
          <w:szCs w:val="24"/>
        </w:rPr>
      </w:pPr>
      <w:hyperlink w:anchor="_Toc370891686" w:history="1">
        <w:r w:rsidR="00191ACF">
          <w:rPr>
            <w:rStyle w:val="a3"/>
          </w:rPr>
          <w:t>1 ТЕОРЕТИЧЕСКИЕ АСПЕКТЫ И ХАРАКТЕРИСТИКА ССУДНОГО КАПИТАЛА</w:t>
        </w:r>
      </w:hyperlink>
    </w:p>
    <w:p w:rsidR="00191ACF" w:rsidRDefault="00ED0C19" w:rsidP="00191ACF">
      <w:pPr>
        <w:pStyle w:val="2"/>
        <w:tabs>
          <w:tab w:val="clear" w:pos="9356"/>
          <w:tab w:val="right" w:leader="dot" w:pos="9214"/>
        </w:tabs>
        <w:ind w:left="0"/>
        <w:rPr>
          <w:noProof/>
          <w:sz w:val="28"/>
          <w:lang w:val="ru-RU" w:eastAsia="ru-RU"/>
        </w:rPr>
      </w:pPr>
      <w:hyperlink w:anchor="_Toc370891687" w:history="1">
        <w:r w:rsidR="00191ACF">
          <w:rPr>
            <w:rStyle w:val="a3"/>
            <w:noProof/>
            <w:sz w:val="28"/>
          </w:rPr>
          <w:t>1.1 Сущность, функции и источники ссудного капитала</w:t>
        </w:r>
      </w:hyperlink>
    </w:p>
    <w:p w:rsidR="00191ACF" w:rsidRDefault="00ED0C19" w:rsidP="00191ACF">
      <w:pPr>
        <w:pStyle w:val="2"/>
        <w:tabs>
          <w:tab w:val="clear" w:pos="9356"/>
          <w:tab w:val="right" w:leader="dot" w:pos="9214"/>
        </w:tabs>
        <w:ind w:left="0"/>
        <w:rPr>
          <w:noProof/>
          <w:sz w:val="28"/>
          <w:lang w:val="ru-RU" w:eastAsia="ru-RU"/>
        </w:rPr>
      </w:pPr>
      <w:hyperlink w:anchor="_Toc370891688" w:history="1">
        <w:r w:rsidR="00191ACF">
          <w:rPr>
            <w:rStyle w:val="a3"/>
            <w:noProof/>
            <w:sz w:val="28"/>
          </w:rPr>
          <w:t>1.2 Формы движения ссудного капитала</w:t>
        </w:r>
      </w:hyperlink>
    </w:p>
    <w:p w:rsidR="00191ACF" w:rsidRDefault="00ED0C19" w:rsidP="00191ACF">
      <w:pPr>
        <w:pStyle w:val="2"/>
        <w:tabs>
          <w:tab w:val="clear" w:pos="9356"/>
          <w:tab w:val="right" w:leader="dot" w:pos="9214"/>
        </w:tabs>
        <w:ind w:left="0"/>
        <w:rPr>
          <w:rStyle w:val="a3"/>
          <w:noProof/>
          <w:sz w:val="28"/>
          <w:lang w:val="ru-RU"/>
        </w:rPr>
      </w:pPr>
      <w:hyperlink w:anchor="_Toc370891689" w:history="1">
        <w:r w:rsidR="00191ACF">
          <w:rPr>
            <w:rStyle w:val="a3"/>
            <w:noProof/>
            <w:sz w:val="28"/>
          </w:rPr>
          <w:t>1.3 Рынок ссудного капитала и его участники</w:t>
        </w:r>
      </w:hyperlink>
    </w:p>
    <w:p w:rsidR="00191ACF" w:rsidRDefault="00191ACF" w:rsidP="00191ACF">
      <w:pPr>
        <w:tabs>
          <w:tab w:val="right" w:leader="dot" w:pos="9214"/>
        </w:tabs>
      </w:pPr>
    </w:p>
    <w:p w:rsidR="00191ACF" w:rsidRDefault="00ED0C19" w:rsidP="00191ACF">
      <w:pPr>
        <w:pStyle w:val="11"/>
        <w:tabs>
          <w:tab w:val="clear" w:pos="9356"/>
          <w:tab w:val="right" w:leader="dot" w:pos="9214"/>
        </w:tabs>
        <w:rPr>
          <w:caps w:val="0"/>
          <w:szCs w:val="24"/>
        </w:rPr>
      </w:pPr>
      <w:hyperlink w:anchor="_Toc370891690" w:history="1">
        <w:r w:rsidR="00191ACF">
          <w:rPr>
            <w:rStyle w:val="a3"/>
          </w:rPr>
          <w:t>2 АНАЛИЗ РЫНКА ССУДНОГО КАПИТАЛА РЕСПУБЛИКИ КАЗАХСТАН</w:t>
        </w:r>
      </w:hyperlink>
    </w:p>
    <w:p w:rsidR="00191ACF" w:rsidRDefault="00ED0C19" w:rsidP="00191ACF">
      <w:pPr>
        <w:pStyle w:val="2"/>
        <w:tabs>
          <w:tab w:val="clear" w:pos="9356"/>
          <w:tab w:val="right" w:leader="dot" w:pos="9214"/>
        </w:tabs>
        <w:ind w:left="0"/>
        <w:rPr>
          <w:noProof/>
          <w:sz w:val="28"/>
          <w:lang w:val="ru-RU" w:eastAsia="ru-RU"/>
        </w:rPr>
      </w:pPr>
      <w:hyperlink w:anchor="_Toc370891691" w:history="1">
        <w:r w:rsidR="00191ACF">
          <w:rPr>
            <w:rStyle w:val="a3"/>
            <w:noProof/>
            <w:sz w:val="28"/>
          </w:rPr>
          <w:t>2.1 Анализ кредитного рынка (банковские и небанковские кредитные учреждения)</w:t>
        </w:r>
      </w:hyperlink>
    </w:p>
    <w:p w:rsidR="00191ACF" w:rsidRDefault="00ED0C19" w:rsidP="00191ACF">
      <w:pPr>
        <w:pStyle w:val="2"/>
        <w:tabs>
          <w:tab w:val="clear" w:pos="9356"/>
          <w:tab w:val="right" w:leader="dot" w:pos="9214"/>
        </w:tabs>
        <w:ind w:left="0"/>
        <w:rPr>
          <w:rStyle w:val="a3"/>
          <w:noProof/>
          <w:sz w:val="28"/>
          <w:lang w:val="ru-RU"/>
        </w:rPr>
      </w:pPr>
      <w:hyperlink w:anchor="_Toc370891692" w:history="1">
        <w:r w:rsidR="00191ACF">
          <w:rPr>
            <w:rStyle w:val="a3"/>
            <w:noProof/>
            <w:sz w:val="28"/>
          </w:rPr>
          <w:t>2.2 Анализ рынка ценных бумаг (первичного и вторичного)</w:t>
        </w:r>
      </w:hyperlink>
    </w:p>
    <w:p w:rsidR="00191ACF" w:rsidRDefault="00191ACF" w:rsidP="00191ACF">
      <w:pPr>
        <w:tabs>
          <w:tab w:val="right" w:leader="dot" w:pos="9214"/>
        </w:tabs>
      </w:pPr>
    </w:p>
    <w:p w:rsidR="00191ACF" w:rsidRDefault="00ED0C19" w:rsidP="00191ACF">
      <w:pPr>
        <w:pStyle w:val="11"/>
        <w:tabs>
          <w:tab w:val="clear" w:pos="9356"/>
          <w:tab w:val="right" w:leader="dot" w:pos="9214"/>
        </w:tabs>
        <w:rPr>
          <w:rStyle w:val="a3"/>
        </w:rPr>
      </w:pPr>
      <w:hyperlink w:anchor="_Toc370891693" w:history="1">
        <w:r w:rsidR="00191ACF">
          <w:rPr>
            <w:rStyle w:val="a3"/>
          </w:rPr>
          <w:t>3 ПРОБЛЕМЫ И ПЕРСПЕКТИВЫ РАЗВИТИЯ ФУНКЦИОНИРОВАНИЯ ССУДНОГО КАПИТАЛА В РЕСПУБЛИКЕ КАЗАХСТАН</w:t>
        </w:r>
      </w:hyperlink>
    </w:p>
    <w:p w:rsidR="00191ACF" w:rsidRDefault="00191ACF" w:rsidP="00191ACF">
      <w:pPr>
        <w:tabs>
          <w:tab w:val="right" w:leader="dot" w:pos="9214"/>
        </w:tabs>
      </w:pPr>
    </w:p>
    <w:p w:rsidR="00191ACF" w:rsidRDefault="00ED0C19" w:rsidP="00191ACF">
      <w:pPr>
        <w:pStyle w:val="11"/>
        <w:tabs>
          <w:tab w:val="clear" w:pos="9356"/>
          <w:tab w:val="right" w:leader="dot" w:pos="9214"/>
        </w:tabs>
        <w:rPr>
          <w:rStyle w:val="a3"/>
        </w:rPr>
      </w:pPr>
      <w:hyperlink w:anchor="_Toc370891694" w:history="1">
        <w:r w:rsidR="00191ACF">
          <w:rPr>
            <w:rStyle w:val="a3"/>
          </w:rPr>
          <w:t>ЗАКЛЮЧЕНИЕ</w:t>
        </w:r>
      </w:hyperlink>
    </w:p>
    <w:p w:rsidR="00191ACF" w:rsidRDefault="00191ACF" w:rsidP="00191ACF">
      <w:pPr>
        <w:tabs>
          <w:tab w:val="right" w:leader="dot" w:pos="9214"/>
        </w:tabs>
      </w:pPr>
    </w:p>
    <w:p w:rsidR="00191ACF" w:rsidRDefault="00ED0C19" w:rsidP="00191ACF">
      <w:pPr>
        <w:pStyle w:val="11"/>
        <w:tabs>
          <w:tab w:val="clear" w:pos="9356"/>
          <w:tab w:val="right" w:leader="dot" w:pos="9214"/>
        </w:tabs>
        <w:rPr>
          <w:caps w:val="0"/>
          <w:szCs w:val="24"/>
        </w:rPr>
      </w:pPr>
      <w:hyperlink w:anchor="_Toc370891695" w:history="1">
        <w:r w:rsidR="00191ACF">
          <w:rPr>
            <w:rStyle w:val="a3"/>
          </w:rPr>
          <w:t>СПИСОК ИСПОЛЬЗОВАННОЙ ЛИТЕРАТУРЫ</w:t>
        </w:r>
      </w:hyperlink>
    </w:p>
    <w:p w:rsidR="00191ACF" w:rsidRDefault="00191ACF" w:rsidP="00191ACF">
      <w:pPr>
        <w:rPr>
          <w:b/>
          <w:bCs/>
          <w:sz w:val="28"/>
        </w:rPr>
      </w:pPr>
      <w:r>
        <w:rPr>
          <w:b/>
          <w:bCs/>
          <w:sz w:val="28"/>
        </w:rPr>
        <w:fldChar w:fldCharType="end"/>
      </w:r>
    </w:p>
    <w:p w:rsidR="00191ACF" w:rsidRDefault="00191ACF" w:rsidP="00191ACF">
      <w:r>
        <w:br w:type="page"/>
      </w:r>
    </w:p>
    <w:p w:rsidR="00191ACF" w:rsidRDefault="00191ACF" w:rsidP="00191ACF">
      <w:pPr>
        <w:pStyle w:val="1"/>
      </w:pPr>
      <w:bookmarkStart w:id="1" w:name="_Toc370891695"/>
      <w:r>
        <w:lastRenderedPageBreak/>
        <w:t>СПИСОК ИСПОЛЬЗОВАННОЙ ЛИТЕРАТУРЫ</w:t>
      </w:r>
      <w:bookmarkEnd w:id="1"/>
    </w:p>
    <w:p w:rsidR="00191ACF" w:rsidRDefault="00191ACF" w:rsidP="00191ACF">
      <w:pPr>
        <w:widowControl w:val="0"/>
        <w:jc w:val="both"/>
        <w:rPr>
          <w:sz w:val="28"/>
        </w:rPr>
      </w:pPr>
    </w:p>
    <w:p w:rsidR="00191ACF" w:rsidRDefault="00191ACF" w:rsidP="00191ACF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Пессель</w:t>
      </w:r>
      <w:proofErr w:type="spellEnd"/>
      <w:r>
        <w:rPr>
          <w:sz w:val="28"/>
          <w:szCs w:val="28"/>
        </w:rPr>
        <w:t xml:space="preserve"> М. А. «Заем, кредит, ссуда» // Деньги и кредит. 1998. №2.</w:t>
      </w:r>
    </w:p>
    <w:p w:rsidR="00191ACF" w:rsidRDefault="00191ACF" w:rsidP="00191ACF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Катасонов</w:t>
      </w:r>
      <w:proofErr w:type="spellEnd"/>
      <w:r>
        <w:rPr>
          <w:sz w:val="28"/>
          <w:szCs w:val="28"/>
        </w:rPr>
        <w:t xml:space="preserve"> В. Ю. О проценте: ссудном, подсудном, безрассудном: хрестоматия современных проблем «денежной цивилизации» / В. Ю. </w:t>
      </w:r>
      <w:proofErr w:type="spellStart"/>
      <w:r>
        <w:rPr>
          <w:sz w:val="28"/>
          <w:szCs w:val="28"/>
        </w:rPr>
        <w:t>Катасонов</w:t>
      </w:r>
      <w:proofErr w:type="spellEnd"/>
      <w:r>
        <w:rPr>
          <w:sz w:val="28"/>
          <w:szCs w:val="28"/>
        </w:rPr>
        <w:t>. – Москва: НИИ школьных технологий. 2011. – 302 с.</w:t>
      </w:r>
    </w:p>
    <w:p w:rsidR="00191ACF" w:rsidRDefault="00ED0C19" w:rsidP="00191ACF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6" w:history="1">
        <w:r w:rsidR="00191ACF">
          <w:rPr>
            <w:sz w:val="28"/>
            <w:szCs w:val="28"/>
          </w:rPr>
          <w:t>Бажанов</w:t>
        </w:r>
      </w:hyperlink>
      <w:r w:rsidR="00191ACF">
        <w:rPr>
          <w:sz w:val="28"/>
          <w:szCs w:val="28"/>
        </w:rPr>
        <w:t xml:space="preserve"> С. В.  Ссудный капитал и финансовый рынок</w:t>
      </w:r>
      <w:proofErr w:type="gramStart"/>
      <w:r w:rsidR="00191ACF">
        <w:rPr>
          <w:sz w:val="28"/>
          <w:szCs w:val="28"/>
        </w:rPr>
        <w:t xml:space="preserve"> :</w:t>
      </w:r>
      <w:proofErr w:type="gramEnd"/>
      <w:r w:rsidR="00191ACF">
        <w:rPr>
          <w:sz w:val="28"/>
          <w:szCs w:val="28"/>
        </w:rPr>
        <w:t xml:space="preserve"> </w:t>
      </w:r>
      <w:proofErr w:type="spellStart"/>
      <w:r w:rsidR="00191ACF">
        <w:rPr>
          <w:sz w:val="28"/>
          <w:szCs w:val="28"/>
        </w:rPr>
        <w:t>вопр</w:t>
      </w:r>
      <w:proofErr w:type="spellEnd"/>
      <w:r w:rsidR="00191ACF">
        <w:rPr>
          <w:sz w:val="28"/>
          <w:szCs w:val="28"/>
        </w:rPr>
        <w:t xml:space="preserve">. теории и практики / С. В. Бажанов, М. А. Родионов ; </w:t>
      </w:r>
      <w:proofErr w:type="spellStart"/>
      <w:r w:rsidR="00191ACF">
        <w:rPr>
          <w:sz w:val="28"/>
          <w:szCs w:val="28"/>
        </w:rPr>
        <w:t>Федер</w:t>
      </w:r>
      <w:proofErr w:type="spellEnd"/>
      <w:r w:rsidR="00191ACF">
        <w:rPr>
          <w:sz w:val="28"/>
          <w:szCs w:val="28"/>
        </w:rPr>
        <w:t>. агентство по образованию, С.-</w:t>
      </w:r>
      <w:proofErr w:type="spellStart"/>
      <w:r w:rsidR="00191ACF">
        <w:rPr>
          <w:sz w:val="28"/>
          <w:szCs w:val="28"/>
        </w:rPr>
        <w:t>Петерб</w:t>
      </w:r>
      <w:proofErr w:type="spellEnd"/>
      <w:r w:rsidR="00191ACF">
        <w:rPr>
          <w:sz w:val="28"/>
          <w:szCs w:val="28"/>
        </w:rPr>
        <w:t>. гос. ун-т экономики и финансов. – СПб</w:t>
      </w:r>
      <w:proofErr w:type="gramStart"/>
      <w:r w:rsidR="00191ACF">
        <w:rPr>
          <w:sz w:val="28"/>
          <w:szCs w:val="28"/>
        </w:rPr>
        <w:t xml:space="preserve">.: </w:t>
      </w:r>
      <w:proofErr w:type="gramEnd"/>
      <w:r w:rsidR="00191ACF">
        <w:rPr>
          <w:sz w:val="28"/>
          <w:szCs w:val="28"/>
        </w:rPr>
        <w:t>Изд-во С.-</w:t>
      </w:r>
      <w:proofErr w:type="spellStart"/>
      <w:r w:rsidR="00191ACF">
        <w:rPr>
          <w:sz w:val="28"/>
          <w:szCs w:val="28"/>
        </w:rPr>
        <w:t>Петерб</w:t>
      </w:r>
      <w:proofErr w:type="spellEnd"/>
      <w:r w:rsidR="00191ACF">
        <w:rPr>
          <w:sz w:val="28"/>
          <w:szCs w:val="28"/>
        </w:rPr>
        <w:t>. гос. ун-та экономики и финансов, 2009. – 192 с.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Иваницкий В. П., Ковтун Р. С. Теоретические основы и экономическая сущность потребительского кредитования // Известия Уральского государственного экономического университета. – Екатеринбург: Уральский государственный экономический университет, 2008. Т. 1. № 20. 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Банковское и кредитное дело: учебник / под ред. Г. Н. </w:t>
      </w:r>
      <w:proofErr w:type="spellStart"/>
      <w:r>
        <w:rPr>
          <w:sz w:val="28"/>
          <w:szCs w:val="28"/>
        </w:rPr>
        <w:t>Гамидов</w:t>
      </w:r>
      <w:proofErr w:type="spellEnd"/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2007. – 678 с.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Финансы: учебник / под ред.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 Князева,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Слепова</w:t>
      </w:r>
      <w:proofErr w:type="spellEnd"/>
      <w:r>
        <w:rPr>
          <w:sz w:val="28"/>
          <w:szCs w:val="28"/>
        </w:rPr>
        <w:t xml:space="preserve">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Магистр, 2008. – 654 с.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Перламутров В. Финансово-денежная политика и рыночные реформы в России. – М.: Экономика, 2007.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Соловьёва С. В. Денежно-кредитная политика России на современном этапе.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// Вопросы экономических наук. 2007. №3 c. 96-98.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Резолюция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Конгресса финансистов Республики Казахстан // Финансы и кредит. – 2008. - №11. </w:t>
      </w:r>
    </w:p>
    <w:p w:rsidR="00191ACF" w:rsidRDefault="00191ACF" w:rsidP="00191A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Заёмный капитал // </w:t>
      </w:r>
      <w:proofErr w:type="spellStart"/>
      <w:r>
        <w:rPr>
          <w:sz w:val="28"/>
          <w:szCs w:val="28"/>
        </w:rPr>
        <w:t>Каржы-Каражат</w:t>
      </w:r>
      <w:proofErr w:type="spellEnd"/>
      <w:r>
        <w:rPr>
          <w:sz w:val="28"/>
          <w:szCs w:val="28"/>
        </w:rPr>
        <w:t xml:space="preserve">. – 2008. – №6. </w:t>
      </w:r>
    </w:p>
    <w:p w:rsidR="00537706" w:rsidRDefault="00537706" w:rsidP="00191ACF">
      <w:bookmarkStart w:id="2" w:name="_GoBack"/>
      <w:bookmarkEnd w:id="2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F64"/>
    <w:multiLevelType w:val="multilevel"/>
    <w:tmpl w:val="9BA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F"/>
    <w:rsid w:val="00191ACF"/>
    <w:rsid w:val="00537706"/>
    <w:rsid w:val="00E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F"/>
    <w:pPr>
      <w:keepNext/>
      <w:autoSpaceDE w:val="0"/>
      <w:autoSpaceDN w:val="0"/>
      <w:adjustRightInd w:val="0"/>
      <w:ind w:firstLine="709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ACF"/>
    <w:rPr>
      <w:color w:val="000000"/>
      <w:sz w:val="28"/>
      <w:szCs w:val="28"/>
    </w:rPr>
  </w:style>
  <w:style w:type="character" w:styleId="a3">
    <w:name w:val="Hyperlink"/>
    <w:semiHidden/>
    <w:unhideWhenUsed/>
    <w:rsid w:val="00191ACF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191ACF"/>
    <w:pPr>
      <w:tabs>
        <w:tab w:val="left" w:pos="180"/>
        <w:tab w:val="right" w:leader="dot" w:pos="9356"/>
      </w:tabs>
      <w:ind w:left="360" w:right="-1"/>
      <w:jc w:val="both"/>
    </w:pPr>
    <w:rPr>
      <w:lang w:val="en-US" w:eastAsia="en-US"/>
    </w:rPr>
  </w:style>
  <w:style w:type="paragraph" w:styleId="11">
    <w:name w:val="toc 1"/>
    <w:basedOn w:val="a"/>
    <w:next w:val="a"/>
    <w:autoRedefine/>
    <w:semiHidden/>
    <w:rsid w:val="00191ACF"/>
    <w:pPr>
      <w:tabs>
        <w:tab w:val="right" w:leader="dot" w:pos="9356"/>
      </w:tabs>
      <w:ind w:right="-1"/>
      <w:jc w:val="both"/>
    </w:pPr>
    <w:rPr>
      <w:caps/>
      <w:noProof/>
      <w:sz w:val="28"/>
      <w:szCs w:val="28"/>
    </w:rPr>
  </w:style>
  <w:style w:type="paragraph" w:styleId="a4">
    <w:name w:val="header"/>
    <w:basedOn w:val="a"/>
    <w:link w:val="a5"/>
    <w:semiHidden/>
    <w:rsid w:val="00191A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91ACF"/>
    <w:rPr>
      <w:sz w:val="24"/>
      <w:szCs w:val="24"/>
    </w:rPr>
  </w:style>
  <w:style w:type="paragraph" w:styleId="a6">
    <w:name w:val="Normal (Web)"/>
    <w:basedOn w:val="a"/>
    <w:semiHidden/>
    <w:unhideWhenUsed/>
    <w:rsid w:val="00191ACF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semiHidden/>
    <w:unhideWhenUsed/>
    <w:rsid w:val="00191A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91A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F"/>
    <w:pPr>
      <w:keepNext/>
      <w:autoSpaceDE w:val="0"/>
      <w:autoSpaceDN w:val="0"/>
      <w:adjustRightInd w:val="0"/>
      <w:ind w:firstLine="709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ACF"/>
    <w:rPr>
      <w:color w:val="000000"/>
      <w:sz w:val="28"/>
      <w:szCs w:val="28"/>
    </w:rPr>
  </w:style>
  <w:style w:type="character" w:styleId="a3">
    <w:name w:val="Hyperlink"/>
    <w:semiHidden/>
    <w:unhideWhenUsed/>
    <w:rsid w:val="00191ACF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191ACF"/>
    <w:pPr>
      <w:tabs>
        <w:tab w:val="left" w:pos="180"/>
        <w:tab w:val="right" w:leader="dot" w:pos="9356"/>
      </w:tabs>
      <w:ind w:left="360" w:right="-1"/>
      <w:jc w:val="both"/>
    </w:pPr>
    <w:rPr>
      <w:lang w:val="en-US" w:eastAsia="en-US"/>
    </w:rPr>
  </w:style>
  <w:style w:type="paragraph" w:styleId="11">
    <w:name w:val="toc 1"/>
    <w:basedOn w:val="a"/>
    <w:next w:val="a"/>
    <w:autoRedefine/>
    <w:semiHidden/>
    <w:rsid w:val="00191ACF"/>
    <w:pPr>
      <w:tabs>
        <w:tab w:val="right" w:leader="dot" w:pos="9356"/>
      </w:tabs>
      <w:ind w:right="-1"/>
      <w:jc w:val="both"/>
    </w:pPr>
    <w:rPr>
      <w:caps/>
      <w:noProof/>
      <w:sz w:val="28"/>
      <w:szCs w:val="28"/>
    </w:rPr>
  </w:style>
  <w:style w:type="paragraph" w:styleId="a4">
    <w:name w:val="header"/>
    <w:basedOn w:val="a"/>
    <w:link w:val="a5"/>
    <w:semiHidden/>
    <w:rsid w:val="00191A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91ACF"/>
    <w:rPr>
      <w:sz w:val="24"/>
      <w:szCs w:val="24"/>
    </w:rPr>
  </w:style>
  <w:style w:type="paragraph" w:styleId="a6">
    <w:name w:val="Normal (Web)"/>
    <w:basedOn w:val="a"/>
    <w:semiHidden/>
    <w:unhideWhenUsed/>
    <w:rsid w:val="00191ACF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semiHidden/>
    <w:unhideWhenUsed/>
    <w:rsid w:val="00191A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91A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spsl.nsc.ru/irbis64r_01/cgi/cgiirbis_64.exe?Z21ID=&amp;I21DBN=CAT&amp;P21DBN=CAT&amp;S21STN=1&amp;S21REF=5&amp;S21FMT=fullwebr&amp;C21COM=S&amp;S21CNR=10&amp;S21P01=0&amp;S21P02=1&amp;S21P03=A=&amp;S21STR=%D0%91%D0%B0%D0%B6%D0%B0%D0%BD%D0%BE%D0%B2,%20%D0%A1%D0%B5%D1%80%D0%B3%D0%B5%D0%B9%20%D0%92%D0%B8%D0%BA%D1%82%D0%BE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2016-04-11T07:07:00Z</dcterms:created>
  <dcterms:modified xsi:type="dcterms:W3CDTF">2016-04-11T07:07:00Z</dcterms:modified>
</cp:coreProperties>
</file>