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49" w:rsidRDefault="00EC0626" w:rsidP="00EC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0626">
        <w:rPr>
          <w:rFonts w:ascii="Times New Roman" w:hAnsi="Times New Roman" w:cs="Times New Roman"/>
        </w:rPr>
        <w:t>Др</w:t>
      </w:r>
      <w:proofErr w:type="spellEnd"/>
      <w:r w:rsidRPr="00EC0626">
        <w:rPr>
          <w:rFonts w:ascii="Times New Roman" w:hAnsi="Times New Roman" w:cs="Times New Roman"/>
        </w:rPr>
        <w:t>_</w:t>
      </w:r>
      <w:r w:rsidRPr="00EC0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626">
        <w:rPr>
          <w:rFonts w:ascii="Times New Roman" w:hAnsi="Times New Roman" w:cs="Times New Roman"/>
          <w:b/>
          <w:sz w:val="24"/>
          <w:szCs w:val="24"/>
        </w:rPr>
        <w:t>ОРГАНИЗАЦИЯ УЧЕТА ДЕБИТОРСКОЙ И КРЕДИТОРСКОЙ ЗАДОЛЖЕННОСТИ И ИХ ОТРАЖЕНИЕ В ФИНАНСОВОЙ ОТЧЕТНОСТИ</w:t>
      </w:r>
    </w:p>
    <w:p w:rsidR="00EC0626" w:rsidRDefault="00EC0626" w:rsidP="00EC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Стр_48</w:t>
      </w:r>
    </w:p>
    <w:p w:rsidR="00EC0626" w:rsidRPr="007B5F67" w:rsidRDefault="00EC0626" w:rsidP="00EC062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7B5F67">
        <w:rPr>
          <w:rFonts w:ascii="Times New Roman" w:hAnsi="Times New Roman" w:cs="Times New Roman"/>
          <w:b/>
          <w:color w:val="auto"/>
          <w:sz w:val="28"/>
        </w:rPr>
        <w:t>СОДЕРЖАНИЕ</w:t>
      </w:r>
    </w:p>
    <w:p w:rsidR="00EC0626" w:rsidRPr="007B5F67" w:rsidRDefault="00EC0626" w:rsidP="00EC0626">
      <w:pPr>
        <w:tabs>
          <w:tab w:val="left" w:pos="38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64"/>
        <w:gridCol w:w="791"/>
      </w:tblGrid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b/>
                <w:sz w:val="28"/>
                <w:szCs w:val="24"/>
              </w:rPr>
              <w:t>РЕЗЮМЕ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C0626" w:rsidRPr="007B5F67" w:rsidRDefault="00EC0626" w:rsidP="008D76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</w:t>
            </w:r>
            <w:r w:rsidRPr="007B5F6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ТЕОРЕТИЧЕСКИЕ АСПЕКТЫ УЧЕТА ДЕБИТОРСКОЙ И КРЕДИТОРСКОЙ ЗАДОЛЖЕННОСТИ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sz w:val="28"/>
                <w:szCs w:val="24"/>
              </w:rPr>
              <w:t>1.1 Понятие и нормативно-правовое регулирование дебиторской и кредиторской задолженности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sz w:val="28"/>
                <w:szCs w:val="24"/>
              </w:rPr>
              <w:t xml:space="preserve">1.2 </w:t>
            </w:r>
            <w:r w:rsidRPr="007B5F67">
              <w:rPr>
                <w:rFonts w:ascii="Times New Roman" w:hAnsi="Times New Roman" w:cs="Times New Roman"/>
                <w:bCs/>
                <w:sz w:val="28"/>
                <w:szCs w:val="24"/>
              </w:rPr>
              <w:t>Система организации учета дебиторской и кредиторской задолженности, ее отражение в бухгалтерской отчетности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C0626" w:rsidRPr="007B5F67" w:rsidRDefault="00EC0626" w:rsidP="008D76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 </w:t>
            </w:r>
            <w:r w:rsidRPr="007B5F6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ОСОБЕННОСТИ УЧЕТА ДЕБИТОРСКОЙ И КРЕДИТОРСКОЙ ЗАДОЛЖЕННОСТИ И ОТРАЖЕНИЯ В ФИНАНСОВОЙ ОТЧЕТНОСТИ В ТОО «»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sz w:val="28"/>
                <w:szCs w:val="24"/>
              </w:rPr>
              <w:t>2.1 Организационно-экономическая характеристика предприятия и основные положения учетной политики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sz w:val="28"/>
                <w:szCs w:val="24"/>
              </w:rPr>
              <w:t>2.2 Анализ состава, структуры и оборачиваемости дебиторской и кредиторской задолженности компании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sz w:val="28"/>
                <w:szCs w:val="24"/>
              </w:rPr>
              <w:t>2.3 Организация учета дебиторской задолженности и отражение в финансовой отчетности компании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sz w:val="28"/>
                <w:szCs w:val="24"/>
              </w:rPr>
              <w:t>2.4 Организация учёта кредиторской задолженности и отражение в финансовой отчетности компании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b/>
                <w:sz w:val="28"/>
                <w:szCs w:val="24"/>
              </w:rPr>
              <w:t>3 АНАЛИЗ И МОДЕЛИРОВАНИЕ СОВЕРШЕНСТВОВАНИЯ ОРГАНИЗАЦИИ УЧЕТА И УСКОРЕНИЯ ОБОРАЧИВАЕМОСТИ ДЕБИТОРСКОЙ И КРЕДИТОРСКОЙ ЗАДОЛЖ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ЕННОСТИ ТОО «</w:t>
            </w:r>
            <w:r w:rsidRPr="007B5F67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sz w:val="28"/>
                <w:szCs w:val="24"/>
              </w:rPr>
              <w:t>3.1 Основные проблемы компании в области учета дебиторской и кредиторской задолженности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sz w:val="28"/>
                <w:szCs w:val="24"/>
              </w:rPr>
              <w:t>3.2 Рекомендации совершенствования учета расчетов с дебиторами и кредиторами и их экономическая эффективность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b/>
                <w:sz w:val="28"/>
                <w:szCs w:val="24"/>
              </w:rPr>
              <w:t>ЗАКЛЮЧЕНИЕ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626" w:rsidRPr="007B5F67" w:rsidTr="008D761D">
        <w:tc>
          <w:tcPr>
            <w:tcW w:w="8564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5F67">
              <w:rPr>
                <w:rFonts w:ascii="Times New Roman" w:hAnsi="Times New Roman" w:cs="Times New Roman"/>
                <w:b/>
                <w:sz w:val="28"/>
                <w:szCs w:val="24"/>
              </w:rPr>
              <w:t>СПИСОК ИСПОЛЬЗОВАННЫХ ИСТОЧНИКОВ</w:t>
            </w:r>
          </w:p>
        </w:tc>
        <w:tc>
          <w:tcPr>
            <w:tcW w:w="791" w:type="dxa"/>
            <w:shd w:val="clear" w:color="auto" w:fill="auto"/>
          </w:tcPr>
          <w:p w:rsidR="00EC0626" w:rsidRPr="007B5F67" w:rsidRDefault="00EC0626" w:rsidP="008D761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C0626" w:rsidRPr="007B5F67" w:rsidRDefault="00EC0626" w:rsidP="00EC0626">
      <w:pPr>
        <w:tabs>
          <w:tab w:val="left" w:pos="38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626" w:rsidRDefault="00EC0626" w:rsidP="00EC0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5F67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EC0626" w:rsidRDefault="00EC062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EC0626" w:rsidRPr="007B5F67" w:rsidRDefault="00EC0626" w:rsidP="00EC0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5F67">
        <w:rPr>
          <w:rFonts w:ascii="Times New Roman" w:hAnsi="Times New Roman" w:cs="Times New Roman"/>
          <w:b/>
          <w:sz w:val="28"/>
          <w:szCs w:val="24"/>
        </w:rPr>
        <w:lastRenderedPageBreak/>
        <w:tab/>
      </w:r>
      <w:r w:rsidRPr="007B5F67">
        <w:rPr>
          <w:rFonts w:ascii="Times New Roman" w:hAnsi="Times New Roman" w:cs="Times New Roman"/>
          <w:b/>
          <w:sz w:val="28"/>
          <w:szCs w:val="24"/>
        </w:rPr>
        <w:tab/>
      </w:r>
      <w:r w:rsidRPr="007B5F67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      </w:t>
      </w:r>
    </w:p>
    <w:p w:rsidR="00EC0626" w:rsidRPr="007B5F67" w:rsidRDefault="00EC0626" w:rsidP="00EC062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B5F6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ЗАКЛЮЧЕНИЕ</w:t>
      </w:r>
    </w:p>
    <w:p w:rsidR="00EC0626" w:rsidRPr="007B5F67" w:rsidRDefault="00EC0626" w:rsidP="00EC0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626" w:rsidRPr="00C65A89" w:rsidRDefault="00EC0626" w:rsidP="00EC0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A89">
        <w:rPr>
          <w:rFonts w:ascii="Times New Roman" w:hAnsi="Times New Roman" w:cs="Times New Roman"/>
          <w:sz w:val="28"/>
          <w:szCs w:val="28"/>
        </w:rPr>
        <w:t>Подведем итоги исследования в форме основных выводов.</w:t>
      </w:r>
    </w:p>
    <w:p w:rsidR="00EC0626" w:rsidRPr="00C65A89" w:rsidRDefault="00EC0626" w:rsidP="00EC0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A89">
        <w:rPr>
          <w:rFonts w:ascii="Times New Roman" w:hAnsi="Times New Roman" w:cs="Times New Roman"/>
          <w:sz w:val="28"/>
          <w:szCs w:val="28"/>
        </w:rPr>
        <w:t>Дебиторская задолженность является совокупностью финансовых средств, которые должны конкретному предприятию, фирме или компании другие юридические и физические лица. В такой ситуации данных лиц называют дебиторами, если говорить простыми словами – должниками.</w:t>
      </w:r>
    </w:p>
    <w:p w:rsidR="00EC0626" w:rsidRPr="00C65A89" w:rsidRDefault="00EC0626" w:rsidP="00EC0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A89">
        <w:rPr>
          <w:rFonts w:ascii="Times New Roman" w:hAnsi="Times New Roman" w:cs="Times New Roman"/>
          <w:sz w:val="28"/>
          <w:szCs w:val="28"/>
        </w:rPr>
        <w:t>Кредиторская задолженность - это счет системы бухгалтерского учета, содержащий сумму всех статей текущей кредиторской задолженности. Бухгалтеры кредитуют и дебетуют «кредиторскую задолженность», так как фирма берет на себя и погашает долги за покупку товаров и услуг. В результате текущий баланс этого счета представляет собой сумму кредиторской задолженности фирмы перед продавцами.</w:t>
      </w:r>
    </w:p>
    <w:p w:rsidR="00EC0626" w:rsidRDefault="00EC0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0626" w:rsidRPr="007B5F67" w:rsidRDefault="00EC0626" w:rsidP="00EC0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626" w:rsidRPr="007B5F67" w:rsidRDefault="00EC0626" w:rsidP="00EC062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B5F6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СПИСОК ИСПОЛЬЗОВАННЫХ ИСТОЧНИКОВ</w:t>
      </w:r>
    </w:p>
    <w:p w:rsidR="00EC0626" w:rsidRPr="007B5F67" w:rsidRDefault="00EC0626" w:rsidP="00EC0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626" w:rsidRPr="007B5F67" w:rsidRDefault="00EC0626" w:rsidP="00EC06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F67">
        <w:rPr>
          <w:rFonts w:ascii="Times New Roman" w:hAnsi="Times New Roman" w:cs="Times New Roman"/>
          <w:sz w:val="28"/>
          <w:szCs w:val="28"/>
        </w:rPr>
        <w:t>Каморджанова</w:t>
      </w:r>
      <w:proofErr w:type="spellEnd"/>
      <w:r w:rsidRPr="007B5F67">
        <w:rPr>
          <w:rFonts w:ascii="Times New Roman" w:hAnsi="Times New Roman" w:cs="Times New Roman"/>
          <w:sz w:val="28"/>
          <w:szCs w:val="28"/>
        </w:rPr>
        <w:t xml:space="preserve"> Н. А. Бухгалтерский финансовый учет. - СПб.: Питер, 2010. – 352 с.</w:t>
      </w:r>
    </w:p>
    <w:p w:rsidR="00EC0626" w:rsidRPr="007B5F67" w:rsidRDefault="00EC0626" w:rsidP="00EC06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F67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21.01.2019 г.) // http://online.zakon.kz/document/?doc_id=1006061.</w:t>
      </w:r>
    </w:p>
    <w:p w:rsidR="00EC0626" w:rsidRPr="007B5F67" w:rsidRDefault="00EC0626" w:rsidP="00EC06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F67">
        <w:rPr>
          <w:rFonts w:ascii="Times New Roman" w:hAnsi="Times New Roman" w:cs="Times New Roman"/>
          <w:sz w:val="28"/>
          <w:szCs w:val="28"/>
        </w:rPr>
        <w:t xml:space="preserve">Назарова В.Л. Бухгалтерский учет: Учебное пособие / Авт. В.Л. Назарова, под ред. С.С. </w:t>
      </w:r>
      <w:proofErr w:type="spellStart"/>
      <w:r w:rsidRPr="007B5F67">
        <w:rPr>
          <w:rFonts w:ascii="Times New Roman" w:hAnsi="Times New Roman" w:cs="Times New Roman"/>
          <w:sz w:val="28"/>
          <w:szCs w:val="28"/>
        </w:rPr>
        <w:t>Сатубалдина</w:t>
      </w:r>
      <w:proofErr w:type="spellEnd"/>
      <w:r w:rsidRPr="007B5F67">
        <w:rPr>
          <w:rFonts w:ascii="Times New Roman" w:hAnsi="Times New Roman" w:cs="Times New Roman"/>
          <w:sz w:val="28"/>
          <w:szCs w:val="28"/>
        </w:rPr>
        <w:t xml:space="preserve">. – Алматы: Алматы </w:t>
      </w:r>
      <w:proofErr w:type="spellStart"/>
      <w:r w:rsidRPr="007B5F6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7B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F67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7B5F67">
        <w:rPr>
          <w:rFonts w:ascii="Times New Roman" w:hAnsi="Times New Roman" w:cs="Times New Roman"/>
          <w:sz w:val="28"/>
          <w:szCs w:val="28"/>
        </w:rPr>
        <w:t>, 2011. - 443с.</w:t>
      </w:r>
    </w:p>
    <w:p w:rsidR="00EC0626" w:rsidRPr="007B5F67" w:rsidRDefault="00EC0626" w:rsidP="00EC06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F67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7B5F67">
        <w:rPr>
          <w:rFonts w:ascii="Times New Roman" w:hAnsi="Times New Roman" w:cs="Times New Roman"/>
          <w:sz w:val="28"/>
          <w:szCs w:val="28"/>
        </w:rPr>
        <w:t xml:space="preserve"> Э.О. Особенности национального учета и МСФО. – Алматы: Изд-во БИКО, </w:t>
      </w:r>
      <w:proofErr w:type="gramStart"/>
      <w:r w:rsidRPr="007B5F67">
        <w:rPr>
          <w:rFonts w:ascii="Times New Roman" w:hAnsi="Times New Roman" w:cs="Times New Roman"/>
          <w:sz w:val="28"/>
          <w:szCs w:val="28"/>
        </w:rPr>
        <w:t>2014.-</w:t>
      </w:r>
      <w:proofErr w:type="gramEnd"/>
      <w:r w:rsidRPr="007B5F67">
        <w:rPr>
          <w:rFonts w:ascii="Times New Roman" w:hAnsi="Times New Roman" w:cs="Times New Roman"/>
          <w:sz w:val="28"/>
          <w:szCs w:val="28"/>
        </w:rPr>
        <w:t>300 с.</w:t>
      </w:r>
    </w:p>
    <w:p w:rsidR="00EC0626" w:rsidRPr="007B5F67" w:rsidRDefault="00EC0626" w:rsidP="00EC06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F67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7B5F67">
        <w:rPr>
          <w:rFonts w:ascii="Times New Roman" w:hAnsi="Times New Roman" w:cs="Times New Roman"/>
          <w:sz w:val="28"/>
          <w:szCs w:val="28"/>
        </w:rPr>
        <w:t xml:space="preserve"> Э.О., «Бухгалтерский учет в организациях». – Алматы.: ТОО «Издательство LEM», 2011. – 450с.</w:t>
      </w:r>
    </w:p>
    <w:p w:rsidR="00EC0626" w:rsidRPr="007B5F67" w:rsidRDefault="00EC0626" w:rsidP="00EC06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5F67">
        <w:rPr>
          <w:rFonts w:ascii="Times New Roman" w:hAnsi="Times New Roman" w:cs="Times New Roman"/>
          <w:sz w:val="28"/>
          <w:szCs w:val="28"/>
        </w:rPr>
        <w:br w:type="page"/>
      </w:r>
    </w:p>
    <w:p w:rsidR="00EC0626" w:rsidRPr="00EC0626" w:rsidRDefault="00EC0626" w:rsidP="00EC0626">
      <w:pPr>
        <w:rPr>
          <w:rFonts w:ascii="Times New Roman" w:hAnsi="Times New Roman" w:cs="Times New Roman"/>
        </w:rPr>
      </w:pPr>
    </w:p>
    <w:sectPr w:rsidR="00EC0626" w:rsidRPr="00EC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31F"/>
    <w:multiLevelType w:val="hybridMultilevel"/>
    <w:tmpl w:val="25BCE382"/>
    <w:lvl w:ilvl="0" w:tplc="3EDE15A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6D"/>
    <w:rsid w:val="004B4149"/>
    <w:rsid w:val="00EC0626"/>
    <w:rsid w:val="00F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9ACE"/>
  <w15:chartTrackingRefBased/>
  <w15:docId w15:val="{C143DDFE-32C3-4588-BCA1-50094B8B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6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2019-10-15T10:35:00Z</dcterms:created>
  <dcterms:modified xsi:type="dcterms:W3CDTF">2019-10-15T10:38:00Z</dcterms:modified>
</cp:coreProperties>
</file>