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Бухгалтерский  баланс и его роль в управлении</w:t>
      </w:r>
      <w:bookmarkStart w:id="0" w:name="_GoBack"/>
      <w:bookmarkEnd w:id="0"/>
    </w:p>
    <w:p w:rsid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План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Введение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1 Теоретические аспекты строения бухгалтерского баланса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1.1 Технико-экономические характеристики ТОО «»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1.2 Учетная политика ТОО «»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1.3 Экономическая сущность бухгалтерского баланса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2 Порядок составления бухгалтерского баланса по данным ТОО «»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2.1 Понятие, значение и задачи финансового состояния предприятия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2.2 Подготовительные работы по составлению бухгалтерского баланса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2.3 Порядок заполнения бухгалтерского баланса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2.4 Бухгалтерский баланс и его роль в анализе финансового состояния предприятия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3 Анализ финансового состояния организации по данным бухгалтерского баланса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3.1 Система показателей финансового состояния по данным баланса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3.2 Роль и значение анализа финансовой отчетности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3.3 Анализ ликвидности и платежеспособности предприятия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3.4 Оценка финансовой устойчивости предприятия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Заключение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Список использованной литературы</w:t>
      </w:r>
    </w:p>
    <w:p w:rsidR="00023C14" w:rsidRPr="00023C14" w:rsidRDefault="00023C14" w:rsidP="00023C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23C14">
        <w:rPr>
          <w:color w:val="000000"/>
          <w:sz w:val="28"/>
          <w:szCs w:val="28"/>
        </w:rPr>
        <w:t>Приложения</w:t>
      </w:r>
    </w:p>
    <w:p w:rsidR="00023C14" w:rsidRPr="00023C14" w:rsidRDefault="00023C14" w:rsidP="0002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br w:type="page"/>
      </w:r>
    </w:p>
    <w:p w:rsidR="00023C14" w:rsidRPr="00023C14" w:rsidRDefault="00023C14" w:rsidP="00023C14">
      <w:pPr>
        <w:pStyle w:val="1"/>
        <w:rPr>
          <w:rFonts w:cs="Times New Roman"/>
          <w:color w:val="000000"/>
          <w:szCs w:val="28"/>
          <w:highlight w:val="white"/>
        </w:rPr>
      </w:pPr>
      <w:bookmarkStart w:id="1" w:name="_Toc355256341"/>
      <w:bookmarkStart w:id="2" w:name="_Toc356473865"/>
      <w:bookmarkStart w:id="3" w:name="_Toc356473981"/>
      <w:bookmarkStart w:id="4" w:name="_Toc356481977"/>
      <w:r w:rsidRPr="00023C14">
        <w:rPr>
          <w:rFonts w:cs="Times New Roman"/>
          <w:color w:val="000000"/>
          <w:szCs w:val="28"/>
          <w:highlight w:val="white"/>
        </w:rPr>
        <w:lastRenderedPageBreak/>
        <w:t>Список использованной литературы</w:t>
      </w:r>
      <w:bookmarkEnd w:id="1"/>
      <w:bookmarkEnd w:id="2"/>
      <w:bookmarkEnd w:id="3"/>
      <w:bookmarkEnd w:id="4"/>
    </w:p>
    <w:p w:rsidR="00023C14" w:rsidRPr="00023C14" w:rsidRDefault="00023C14" w:rsidP="00023C14">
      <w:pPr>
        <w:pStyle w:val="11"/>
        <w:rPr>
          <w:highlight w:val="white"/>
        </w:rPr>
      </w:pPr>
    </w:p>
    <w:p w:rsidR="00023C14" w:rsidRPr="00023C14" w:rsidRDefault="00023C14" w:rsidP="00023C1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 xml:space="preserve">Послание Президента народу Казахстана «Стратегия «Казахстан-2050». Новый политический курс состоявшегося государства» от 14 декабря 2012 года 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>Учетная политика ТОО «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Казгидро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»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 бухгалтерском учете и финансовой отчетности» от 28 февраля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№234-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ЗРК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 26.12.2012 г.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>Типовой план счетов бухгалтерского учета Республики Казахстан, утвержденный приказом Министра финансов Республики Казахстан от 23 мая 2007 года  №185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 xml:space="preserve">Формы первичных учетных документов, утвержденных приказом МФ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14.01.2013г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№ 8265.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>Международный стандарт финансовой отчетности (IAS) 1 «Представление финансовой отчетности» от 07.11.2012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>Международный стандарт финансовой отчетности (IAS) 7 «Отчет о движении денежных средств» от 07.11.2012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Style w:val="s1"/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 xml:space="preserve">Национальный стандарт финансовой отчетности </w:t>
      </w:r>
      <w:r w:rsidRPr="00023C14">
        <w:rPr>
          <w:rStyle w:val="s1"/>
          <w:rFonts w:ascii="Times New Roman" w:hAnsi="Times New Roman" w:cs="Times New Roman"/>
          <w:color w:val="000000"/>
          <w:sz w:val="28"/>
          <w:szCs w:val="28"/>
        </w:rPr>
        <w:t>от 31 января 2013 года № 50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>Международный Стандарт Финансовой Отчетности (IFRS) для предприятий малого и среднего бизнеса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>Перечень форм годовой финансовой отчетности для публикации организациями публичного интереса (кроме финансовых организаций) Приказ Министра финансов Республики Казахстан от 20 августа 2010 года № 422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 xml:space="preserve">Акильбекова К. Финансовая отчетность – 2010. // Журнал Бухучет на практике, №3, 2011. – с. 11.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www.grossbuh.kz</w:t>
      </w:r>
      <w:proofErr w:type="spellEnd"/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 xml:space="preserve">Артеменко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Беллендир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Финансовый анализ: Учебное пособие - М.: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, 2005.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128с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C14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., Сейфулин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Финансы предприятий. - М.: Инфра – М., 2006. 343 с.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Анализ финансового положения предприятия – Алматы «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Ка</w:t>
      </w:r>
      <w:r w:rsidRPr="00023C14">
        <w:rPr>
          <w:rFonts w:ascii="Times New Roman" w:hAnsi="Times New Roman" w:cs="Times New Roman"/>
          <w:sz w:val="28"/>
          <w:szCs w:val="28"/>
        </w:rPr>
        <w:t>р</w:t>
      </w:r>
      <w:r w:rsidRPr="00023C14">
        <w:rPr>
          <w:rFonts w:ascii="Times New Roman" w:hAnsi="Times New Roman" w:cs="Times New Roman"/>
          <w:sz w:val="28"/>
          <w:szCs w:val="28"/>
        </w:rPr>
        <w:t>жи-Каржат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», 2005.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294с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 xml:space="preserve">Баканов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Теория анализа хозяйственной деятельност</w:t>
      </w:r>
      <w:r w:rsidRPr="00023C14">
        <w:rPr>
          <w:rFonts w:ascii="Times New Roman" w:hAnsi="Times New Roman" w:cs="Times New Roman"/>
          <w:sz w:val="28"/>
          <w:szCs w:val="28"/>
        </w:rPr>
        <w:t xml:space="preserve">и – М.: Финансы и статистика. – 2006.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157с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 xml:space="preserve">Банк В. Р., Банк С. В.,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Тараскина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Л. В. Финансовый анализ: Учеб</w:t>
      </w:r>
      <w:proofErr w:type="gramStart"/>
      <w:r w:rsidRPr="00023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C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3C14">
        <w:rPr>
          <w:rFonts w:ascii="Times New Roman" w:hAnsi="Times New Roman" w:cs="Times New Roman"/>
          <w:sz w:val="28"/>
          <w:szCs w:val="28"/>
        </w:rPr>
        <w:t xml:space="preserve">особие. - М.: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, Изд-во Проспект, 2006.  344 с. 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 xml:space="preserve">Любушин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Анализ финансово-экономической деятельности предпр</w:t>
      </w:r>
      <w:r w:rsidRPr="00023C14">
        <w:rPr>
          <w:rFonts w:ascii="Times New Roman" w:hAnsi="Times New Roman" w:cs="Times New Roman"/>
          <w:sz w:val="28"/>
          <w:szCs w:val="28"/>
        </w:rPr>
        <w:t>и</w:t>
      </w:r>
      <w:r w:rsidRPr="00023C14">
        <w:rPr>
          <w:rFonts w:ascii="Times New Roman" w:hAnsi="Times New Roman" w:cs="Times New Roman"/>
          <w:sz w:val="28"/>
          <w:szCs w:val="28"/>
        </w:rPr>
        <w:t>ятия. – М.: Финансы и кредит, 2007.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>Энциклопедический словарь</w:t>
      </w:r>
      <w:proofErr w:type="gramStart"/>
      <w:r w:rsidRPr="00023C14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023C14">
        <w:rPr>
          <w:rFonts w:ascii="Times New Roman" w:hAnsi="Times New Roman" w:cs="Times New Roman"/>
          <w:sz w:val="28"/>
          <w:szCs w:val="28"/>
        </w:rPr>
        <w:t xml:space="preserve">од ред. И. А. Андриевского. - СПб: Издатели Ф. А. Брокгауз, И. Ф.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, 2003.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>Правила ведения бухгалтерского учета от 14 октября 2011 года № 1172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Ковалев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В.В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. Как читать баланс /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В.В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. Ковалев,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В.В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. Патров,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В.А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. Быков - 5-е изд.,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>, и доп. - М.: Финансы и статистика, 2006.-672 с.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Гогина, Г. Н. Финансовый анализ: учебное пособие/ Г. Н. Гогина, О. А. Филиппова; фил. НОУ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ВПО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СаГА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>» в г. Тольятти. — Самара</w:t>
      </w:r>
      <w:proofErr w:type="gram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Самар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>. акад., 2006. —300 с.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14">
        <w:rPr>
          <w:rFonts w:ascii="Times New Roman" w:hAnsi="Times New Roman" w:cs="Times New Roman"/>
          <w:color w:val="000000"/>
          <w:sz w:val="28"/>
          <w:szCs w:val="28"/>
        </w:rPr>
        <w:t>Балабанов И. Т. Анализ и планирование финансов хозяйствую</w:t>
      </w:r>
      <w:r w:rsidRPr="00023C14">
        <w:rPr>
          <w:rFonts w:ascii="Times New Roman" w:hAnsi="Times New Roman" w:cs="Times New Roman"/>
          <w:color w:val="000000"/>
          <w:sz w:val="28"/>
          <w:szCs w:val="28"/>
        </w:rPr>
        <w:softHyphen/>
        <w:t>щего субъекта. М.: Финансы и статистика, 1998.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Ефимова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О.Е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>. Финансовый анализ – М.: АО Бизнес школа, 2003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14">
        <w:rPr>
          <w:rFonts w:ascii="Times New Roman" w:hAnsi="Times New Roman" w:cs="Times New Roman"/>
          <w:sz w:val="28"/>
          <w:szCs w:val="28"/>
        </w:rPr>
        <w:t>Управленческий учет</w:t>
      </w:r>
      <w:proofErr w:type="gramStart"/>
      <w:r w:rsidRPr="00023C1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023C14">
        <w:rPr>
          <w:rFonts w:ascii="Times New Roman" w:hAnsi="Times New Roman" w:cs="Times New Roman"/>
          <w:sz w:val="28"/>
          <w:szCs w:val="28"/>
        </w:rPr>
        <w:t xml:space="preserve">од ред. В. Палия и Р.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Виля. — М.: Инфра–М, 2008.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Савицкая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Г.В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. Методика комплексного анализа хозяйственной деятельности предприятия: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М.:ИНФРА-М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, 2009. </w:t>
      </w:r>
      <w:proofErr w:type="spellStart"/>
      <w:r w:rsidRPr="00023C14">
        <w:rPr>
          <w:rFonts w:ascii="Times New Roman" w:hAnsi="Times New Roman" w:cs="Times New Roman"/>
          <w:color w:val="000000"/>
          <w:sz w:val="28"/>
          <w:szCs w:val="28"/>
        </w:rPr>
        <w:t>384с</w:t>
      </w:r>
      <w:proofErr w:type="spellEnd"/>
      <w:r w:rsidRPr="00023C1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>Шеремет А.Д. Финансовые результаты хозяйственной деятельности экономического субъекта // Аудит и финансовый анализ. - 2009. - №4 - С.45-69.</w:t>
      </w:r>
    </w:p>
    <w:p w:rsidR="00023C14" w:rsidRPr="00023C14" w:rsidRDefault="00023C14" w:rsidP="00023C14">
      <w:pPr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3C14">
        <w:rPr>
          <w:rFonts w:ascii="Times New Roman" w:hAnsi="Times New Roman" w:cs="Times New Roman"/>
          <w:noProof/>
          <w:sz w:val="28"/>
          <w:szCs w:val="28"/>
        </w:rPr>
        <w:t>Медведев О.В. Анализ доходности  предприятия  //  Бухгалтерский  учет. - 2010. - №5 -  С. 16-20</w:t>
      </w:r>
    </w:p>
    <w:p w:rsidR="00023C14" w:rsidRPr="00023C14" w:rsidRDefault="00023C14" w:rsidP="00023C14">
      <w:pPr>
        <w:widowControl w:val="0"/>
        <w:numPr>
          <w:ilvl w:val="0"/>
          <w:numId w:val="1"/>
        </w:numPr>
        <w:tabs>
          <w:tab w:val="clear" w:pos="1647"/>
          <w:tab w:val="num" w:pos="912"/>
          <w:tab w:val="num" w:pos="2449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Кеулимжаев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Кудайбергенов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14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023C14">
        <w:rPr>
          <w:rFonts w:ascii="Times New Roman" w:hAnsi="Times New Roman" w:cs="Times New Roman"/>
          <w:sz w:val="28"/>
          <w:szCs w:val="28"/>
        </w:rPr>
        <w:t>. Финансовая отчетность: Учебное пособие. – Алматы: Экономика, 2009. -264 с.</w:t>
      </w:r>
    </w:p>
    <w:p w:rsidR="00B8719E" w:rsidRPr="00023C14" w:rsidRDefault="00B8719E" w:rsidP="0002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19E" w:rsidRPr="0002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3AEF"/>
    <w:multiLevelType w:val="hybridMultilevel"/>
    <w:tmpl w:val="4BA2F244"/>
    <w:lvl w:ilvl="0" w:tplc="28F0D49A">
      <w:start w:val="1"/>
      <w:numFmt w:val="decimal"/>
      <w:lvlText w:val="%1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14"/>
    <w:rsid w:val="00023C14"/>
    <w:rsid w:val="00B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023C1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3C14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11">
    <w:name w:val="toc 1"/>
    <w:basedOn w:val="a"/>
    <w:next w:val="a"/>
    <w:autoRedefine/>
    <w:semiHidden/>
    <w:rsid w:val="00023C14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s1">
    <w:name w:val="s1"/>
    <w:basedOn w:val="a0"/>
    <w:rsid w:val="00023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023C1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3C14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11">
    <w:name w:val="toc 1"/>
    <w:basedOn w:val="a"/>
    <w:next w:val="a"/>
    <w:autoRedefine/>
    <w:semiHidden/>
    <w:rsid w:val="00023C14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s1">
    <w:name w:val="s1"/>
    <w:basedOn w:val="a0"/>
    <w:rsid w:val="0002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2015-03-19T10:35:00Z</dcterms:created>
  <dcterms:modified xsi:type="dcterms:W3CDTF">2015-03-19T10:42:00Z</dcterms:modified>
</cp:coreProperties>
</file>