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96" w:rsidRDefault="00A97196" w:rsidP="00A97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719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A97196">
        <w:rPr>
          <w:rFonts w:ascii="Times New Roman" w:hAnsi="Times New Roman" w:cs="Times New Roman"/>
          <w:sz w:val="28"/>
          <w:szCs w:val="28"/>
        </w:rPr>
        <w:t>_</w:t>
      </w:r>
      <w:r w:rsidRPr="00A97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196">
        <w:rPr>
          <w:rFonts w:ascii="Times New Roman" w:hAnsi="Times New Roman" w:cs="Times New Roman"/>
          <w:b/>
          <w:sz w:val="28"/>
          <w:szCs w:val="28"/>
        </w:rPr>
        <w:t>Учет, аудит и анализ нематериальных активов</w:t>
      </w:r>
    </w:p>
    <w:p w:rsidR="00A97196" w:rsidRDefault="00A97196" w:rsidP="00A97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Стр-74</w:t>
      </w:r>
    </w:p>
    <w:p w:rsidR="00A97196" w:rsidRDefault="00A97196" w:rsidP="00A97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Style w:val="a3"/>
          <w:rFonts w:ascii="Times New Roman" w:hAnsi="Times New Roman" w:cs="Times New Roman"/>
          <w:caps/>
          <w:noProof/>
          <w:sz w:val="28"/>
          <w:szCs w:val="28"/>
        </w:rPr>
      </w:pPr>
      <w:r w:rsidRPr="00181727">
        <w:rPr>
          <w:rFonts w:ascii="Times New Roman" w:hAnsi="Times New Roman" w:cs="Times New Roman"/>
          <w:sz w:val="28"/>
          <w:szCs w:val="28"/>
        </w:rPr>
        <w:fldChar w:fldCharType="begin"/>
      </w:r>
      <w:r w:rsidRPr="00181727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18172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16074979" w:history="1">
        <w:r w:rsidRPr="00181727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Введение</w:t>
        </w:r>
      </w:hyperlink>
    </w:p>
    <w:p w:rsidR="00A97196" w:rsidRPr="00181727" w:rsidRDefault="00A97196" w:rsidP="00A97196">
      <w:pPr>
        <w:spacing w:after="0" w:line="240" w:lineRule="auto"/>
        <w:rPr>
          <w:noProof/>
          <w:sz w:val="28"/>
          <w:szCs w:val="28"/>
        </w:rPr>
      </w:pPr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caps/>
          <w:noProof/>
          <w:sz w:val="28"/>
          <w:szCs w:val="28"/>
          <w:lang w:eastAsia="ru-RU"/>
        </w:rPr>
      </w:pPr>
      <w:hyperlink w:anchor="_Toc516074981" w:history="1">
        <w:r w:rsidRPr="00181727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1 Теоретические аспекты учета, аудита и анализа нематериальных активов предприятия</w:t>
        </w:r>
      </w:hyperlink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6074982" w:history="1">
        <w:r w:rsidRPr="00181727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Сущность и классификация видов нематериальных активов</w:t>
        </w:r>
      </w:hyperlink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6074983" w:history="1">
        <w:r w:rsidRPr="00181727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Оценка и признание нематериальных активов в соответствие с МСФО</w:t>
        </w:r>
      </w:hyperlink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516074984" w:history="1">
        <w:r w:rsidRPr="00181727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 Методология аудиторской проверки и анализа нематериальных активов предприятия</w:t>
        </w:r>
      </w:hyperlink>
    </w:p>
    <w:p w:rsidR="00A97196" w:rsidRPr="00181727" w:rsidRDefault="00A97196" w:rsidP="00A97196">
      <w:pPr>
        <w:spacing w:after="0" w:line="240" w:lineRule="auto"/>
        <w:rPr>
          <w:noProof/>
          <w:sz w:val="28"/>
          <w:szCs w:val="28"/>
        </w:rPr>
      </w:pPr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6074986" w:history="1">
        <w:r w:rsidRPr="00181727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 xml:space="preserve">2 Организация учета нематериальных активов </w:t>
        </w:r>
      </w:hyperlink>
      <w:r w:rsidRPr="0018172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6074987" w:history="1">
        <w:r w:rsidRPr="00181727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Краткая технико-экономическая характеристика деятельности    предприятия</w:t>
        </w:r>
      </w:hyperlink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6074988" w:history="1">
        <w:r w:rsidRPr="00181727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2.2 Документальное оформление и учет движения нематериальных активов </w:t>
        </w:r>
        <w:r w:rsidRPr="00181727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 xml:space="preserve">      </w:t>
        </w:r>
      </w:hyperlink>
      <w:r w:rsidRPr="0018172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516074989" w:history="1">
        <w:r w:rsidRPr="00181727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 Финансовый и налоговый учет амортизации нематериальных активов</w:t>
        </w:r>
      </w:hyperlink>
    </w:p>
    <w:p w:rsidR="00A97196" w:rsidRPr="00181727" w:rsidRDefault="00A97196" w:rsidP="00A97196">
      <w:pPr>
        <w:spacing w:after="0" w:line="240" w:lineRule="auto"/>
        <w:rPr>
          <w:noProof/>
          <w:sz w:val="28"/>
          <w:szCs w:val="28"/>
        </w:rPr>
      </w:pPr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caps/>
          <w:noProof/>
          <w:sz w:val="28"/>
          <w:szCs w:val="28"/>
          <w:lang w:eastAsia="ru-RU"/>
        </w:rPr>
      </w:pPr>
      <w:hyperlink w:anchor="_Toc516074990" w:history="1">
        <w:r w:rsidRPr="00181727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3 Аудит и анализ нематериальных активов предприятия</w:t>
        </w:r>
      </w:hyperlink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6074991" w:history="1">
        <w:r w:rsidRPr="00181727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 Организация и проведение аудиторской проверки состояния учета   объектов НМА</w:t>
        </w:r>
      </w:hyperlink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6074992" w:history="1">
        <w:r w:rsidRPr="00181727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3.2 Анализ наличия и эффективности использования нематериальных      активов</w:t>
        </w:r>
      </w:hyperlink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516074993" w:history="1">
        <w:r w:rsidRPr="00181727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3.3 Рекомендации по совершенствованию учета и использования нематериальных активов предприятия</w:t>
        </w:r>
      </w:hyperlink>
    </w:p>
    <w:p w:rsidR="00A97196" w:rsidRPr="00181727" w:rsidRDefault="00A97196" w:rsidP="00A97196">
      <w:pPr>
        <w:spacing w:after="0" w:line="240" w:lineRule="auto"/>
        <w:rPr>
          <w:noProof/>
          <w:sz w:val="28"/>
          <w:szCs w:val="28"/>
        </w:rPr>
      </w:pPr>
    </w:p>
    <w:p w:rsidR="00A97196" w:rsidRPr="00181727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Style w:val="a3"/>
          <w:rFonts w:ascii="Times New Roman" w:hAnsi="Times New Roman" w:cs="Times New Roman"/>
          <w:caps/>
          <w:noProof/>
          <w:sz w:val="28"/>
          <w:szCs w:val="28"/>
        </w:rPr>
      </w:pPr>
      <w:hyperlink w:anchor="_Toc516074995" w:history="1">
        <w:r w:rsidRPr="00181727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Заключение</w:t>
        </w:r>
      </w:hyperlink>
    </w:p>
    <w:p w:rsidR="00A97196" w:rsidRPr="00181727" w:rsidRDefault="00A97196" w:rsidP="00A97196">
      <w:pPr>
        <w:spacing w:after="0" w:line="240" w:lineRule="auto"/>
        <w:rPr>
          <w:noProof/>
          <w:sz w:val="28"/>
          <w:szCs w:val="28"/>
        </w:rPr>
      </w:pPr>
    </w:p>
    <w:p w:rsidR="00A97196" w:rsidRDefault="00A97196" w:rsidP="00A97196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 w:cs="Times New Roman"/>
          <w:caps/>
          <w:noProof/>
          <w:sz w:val="28"/>
          <w:szCs w:val="28"/>
        </w:rPr>
      </w:pPr>
      <w:hyperlink w:anchor="_Toc516074996" w:history="1">
        <w:r w:rsidRPr="00181727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Список использованной литературы</w:t>
        </w:r>
      </w:hyperlink>
    </w:p>
    <w:p w:rsidR="00A97196" w:rsidRDefault="00A97196">
      <w:pPr>
        <w:spacing w:after="160" w:line="259" w:lineRule="auto"/>
      </w:pPr>
      <w:r>
        <w:br w:type="page"/>
      </w:r>
    </w:p>
    <w:p w:rsidR="00A97196" w:rsidRPr="00A97196" w:rsidRDefault="00A97196" w:rsidP="00A97196"/>
    <w:p w:rsidR="00A97196" w:rsidRPr="00880993" w:rsidRDefault="00A97196" w:rsidP="00A97196">
      <w:pPr>
        <w:pStyle w:val="2"/>
        <w:widowControl w:val="0"/>
        <w:ind w:firstLine="567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0" w:name="_Toc516074995"/>
      <w:r w:rsidRPr="00880993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Заключение</w:t>
      </w:r>
      <w:bookmarkEnd w:id="0"/>
    </w:p>
    <w:p w:rsidR="00A97196" w:rsidRPr="004634FD" w:rsidRDefault="00A97196" w:rsidP="00A971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196" w:rsidRPr="004634FD" w:rsidRDefault="00A97196" w:rsidP="00A971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196" w:rsidRPr="004634FD" w:rsidRDefault="00A97196" w:rsidP="00A971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4FD">
        <w:rPr>
          <w:rFonts w:ascii="Times New Roman" w:hAnsi="Times New Roman" w:cs="Times New Roman"/>
          <w:color w:val="000000" w:themeColor="text1"/>
          <w:sz w:val="28"/>
          <w:szCs w:val="28"/>
        </w:rPr>
        <w:t>Правила учета нематериальных активов являются одними из самых сложных и неоднозначно решаемых вопросов в учетной практике предприятия, поскольку четкая организация учета нематериальных активов и их амортизации играет большую роль в условиях рыночных отношений.</w:t>
      </w:r>
      <w:bookmarkStart w:id="1" w:name="_Toc259709903"/>
      <w:r w:rsidRPr="00463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 «нематериальные активы» возник в результате </w:t>
      </w:r>
      <w:proofErr w:type="gramStart"/>
      <w:r w:rsidRPr="004634FD">
        <w:rPr>
          <w:rFonts w:ascii="Times New Roman" w:hAnsi="Times New Roman" w:cs="Times New Roman"/>
          <w:color w:val="000000" w:themeColor="text1"/>
          <w:sz w:val="28"/>
          <w:szCs w:val="28"/>
        </w:rPr>
        <w:t>перевода  на</w:t>
      </w:r>
      <w:proofErr w:type="gramEnd"/>
      <w:r w:rsidRPr="00463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язык слова «</w:t>
      </w:r>
      <w:proofErr w:type="spellStart"/>
      <w:r w:rsidRPr="004634FD">
        <w:rPr>
          <w:rFonts w:ascii="Times New Roman" w:hAnsi="Times New Roman" w:cs="Times New Roman"/>
          <w:color w:val="000000" w:themeColor="text1"/>
          <w:sz w:val="28"/>
          <w:szCs w:val="28"/>
        </w:rPr>
        <w:t>intangibl</w:t>
      </w:r>
      <w:proofErr w:type="spellEnd"/>
      <w:r w:rsidRPr="004634FD">
        <w:rPr>
          <w:rFonts w:ascii="Times New Roman" w:hAnsi="Times New Roman" w:cs="Times New Roman"/>
          <w:color w:val="000000" w:themeColor="text1"/>
          <w:sz w:val="28"/>
          <w:szCs w:val="28"/>
        </w:rPr>
        <w:t>» от латинского «</w:t>
      </w:r>
      <w:proofErr w:type="spellStart"/>
      <w:r w:rsidRPr="004634FD">
        <w:rPr>
          <w:rFonts w:ascii="Times New Roman" w:hAnsi="Times New Roman" w:cs="Times New Roman"/>
          <w:color w:val="000000" w:themeColor="text1"/>
          <w:sz w:val="28"/>
          <w:szCs w:val="28"/>
        </w:rPr>
        <w:t>tangere</w:t>
      </w:r>
      <w:proofErr w:type="spellEnd"/>
      <w:r w:rsidRPr="004634FD">
        <w:rPr>
          <w:rFonts w:ascii="Times New Roman" w:hAnsi="Times New Roman" w:cs="Times New Roman"/>
          <w:color w:val="000000" w:themeColor="text1"/>
          <w:sz w:val="28"/>
          <w:szCs w:val="28"/>
        </w:rPr>
        <w:t>» (касаться, осязать).</w:t>
      </w:r>
      <w:bookmarkEnd w:id="1"/>
    </w:p>
    <w:p w:rsidR="00A97196" w:rsidRPr="004634FD" w:rsidRDefault="00A97196" w:rsidP="00A971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4FD">
        <w:rPr>
          <w:rFonts w:ascii="Times New Roman" w:hAnsi="Times New Roman" w:cs="Times New Roman"/>
          <w:color w:val="000000" w:themeColor="text1"/>
          <w:sz w:val="28"/>
          <w:szCs w:val="28"/>
        </w:rPr>
        <w:t>Под нематериальными активами понимают объекты долгосрочного пользования, не имеющие физической основы, но имеющие стоимости оценку и обладающие следующими свойствами: способностью приносить доход и способностью отчуждения. Нематериальные активы признаются в финансовой отчетности, если выполняются следующие условия:</w:t>
      </w:r>
      <w:r w:rsidRPr="004634FD">
        <w:rPr>
          <w:rFonts w:ascii="Times New Roman" w:hAnsi="Times New Roman" w:cs="Times New Roman"/>
          <w:sz w:val="28"/>
          <w:szCs w:val="28"/>
        </w:rPr>
        <w:t xml:space="preserve"> высока вероятность получения организацией в будущем ожидаемых экономических выгод, непосредственно связанных с данным активом; можно достоверно определить стоимость активов; активы можно идентифицировать и контролировать.</w:t>
      </w:r>
    </w:p>
    <w:p w:rsidR="00A97196" w:rsidRPr="004634FD" w:rsidRDefault="00A97196" w:rsidP="00A971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4FD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своего назначения и функций, выполняемых в производственно-хозяйственной деятельности, нематериальные активы могут классифицироваться различным способом. MCФO 38 рекомендует нематериальные активы подразделять на классы. Класс - это группа активов, похожих по характеру и назначению.</w:t>
      </w:r>
    </w:p>
    <w:p w:rsidR="00A97196" w:rsidRDefault="00A97196">
      <w:p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A97196" w:rsidRPr="00181727" w:rsidRDefault="00A97196" w:rsidP="00A97196">
      <w:pPr>
        <w:spacing w:after="0" w:line="240" w:lineRule="auto"/>
        <w:rPr>
          <w:noProof/>
          <w:sz w:val="28"/>
          <w:szCs w:val="28"/>
        </w:rPr>
      </w:pPr>
    </w:p>
    <w:p w:rsidR="00A97196" w:rsidRPr="00880993" w:rsidRDefault="00A97196" w:rsidP="00A97196">
      <w:pPr>
        <w:pStyle w:val="2"/>
        <w:widowControl w:val="0"/>
        <w:ind w:firstLine="567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181727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Start w:id="2" w:name="_Toc516074996"/>
      <w:r w:rsidRPr="00A97196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Pr="00880993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Список использованных источников</w:t>
      </w:r>
      <w:bookmarkEnd w:id="2"/>
    </w:p>
    <w:p w:rsidR="00A97196" w:rsidRPr="002B54B6" w:rsidRDefault="00A97196" w:rsidP="00A971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196" w:rsidRDefault="00A97196" w:rsidP="00A971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196" w:rsidRPr="001F3809" w:rsidRDefault="00A97196" w:rsidP="00A97196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809">
        <w:rPr>
          <w:rFonts w:ascii="Times New Roman" w:hAnsi="Times New Roman" w:cs="Times New Roman"/>
          <w:color w:val="000000"/>
          <w:sz w:val="28"/>
          <w:szCs w:val="28"/>
        </w:rPr>
        <w:t xml:space="preserve">Послание Президента Республики Казахстан Н. Назарбаева народу Казахстана «Новые возможности развития в условиях четвертой промышленной революции» от 10 января 2018 г. // Электронный ресурс - Режим доступа. - URL: </w:t>
      </w:r>
      <w:hyperlink r:id="rId5" w:history="1">
        <w:r w:rsidRPr="009472DB">
          <w:rPr>
            <w:rStyle w:val="a3"/>
            <w:rFonts w:ascii="Times New Roman" w:hAnsi="Times New Roman" w:cs="Times New Roman"/>
            <w:sz w:val="28"/>
            <w:szCs w:val="28"/>
          </w:rPr>
          <w:t>http://www.akorda.kz/ru/addresses/addresses_of_president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809">
        <w:rPr>
          <w:rFonts w:ascii="Times New Roman" w:hAnsi="Times New Roman" w:cs="Times New Roman"/>
          <w:color w:val="000000"/>
          <w:sz w:val="28"/>
          <w:szCs w:val="28"/>
        </w:rPr>
        <w:t>/poslanie-prezidenta-respubliki-kazahstan-n-nazarbaeva-narodu-kazahstana-10-yanvarya-2018-g</w:t>
      </w:r>
    </w:p>
    <w:p w:rsidR="00A97196" w:rsidRPr="001F3809" w:rsidRDefault="00A97196" w:rsidP="00A97196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809">
        <w:rPr>
          <w:rFonts w:ascii="Times New Roman" w:hAnsi="Times New Roman" w:cs="Times New Roman"/>
          <w:color w:val="000000"/>
          <w:sz w:val="28"/>
          <w:szCs w:val="28"/>
        </w:rPr>
        <w:t xml:space="preserve">Бланк И.А. Финансовый менеджмент: учебный курс / И.А. Бланк. - К.: Ника-Центр - 2008. </w:t>
      </w:r>
    </w:p>
    <w:p w:rsidR="00A97196" w:rsidRPr="001F3809" w:rsidRDefault="00A97196" w:rsidP="00A97196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3809">
        <w:rPr>
          <w:rFonts w:ascii="Times New Roman" w:hAnsi="Times New Roman" w:cs="Times New Roman"/>
          <w:color w:val="000000"/>
          <w:sz w:val="28"/>
          <w:szCs w:val="28"/>
        </w:rPr>
        <w:t>Шепеленко</w:t>
      </w:r>
      <w:proofErr w:type="spellEnd"/>
      <w:r w:rsidRPr="001F3809">
        <w:rPr>
          <w:rFonts w:ascii="Times New Roman" w:hAnsi="Times New Roman" w:cs="Times New Roman"/>
          <w:color w:val="000000"/>
          <w:sz w:val="28"/>
          <w:szCs w:val="28"/>
        </w:rPr>
        <w:t xml:space="preserve"> Г.И. Экономика, организация и планирование производства на предприятии: </w:t>
      </w:r>
      <w:proofErr w:type="spellStart"/>
      <w:proofErr w:type="gramStart"/>
      <w:r w:rsidRPr="001F3809"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proofErr w:type="gramEnd"/>
      <w:r w:rsidRPr="001F3809">
        <w:rPr>
          <w:rFonts w:ascii="Times New Roman" w:hAnsi="Times New Roman" w:cs="Times New Roman"/>
          <w:color w:val="000000"/>
          <w:sz w:val="28"/>
          <w:szCs w:val="28"/>
        </w:rPr>
        <w:t xml:space="preserve"> для студентов экономических фа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культетов и вузов. Ростов –н/Д: </w:t>
      </w:r>
      <w:r w:rsidRPr="001F3809">
        <w:rPr>
          <w:rFonts w:ascii="Times New Roman" w:hAnsi="Times New Roman" w:cs="Times New Roman"/>
          <w:color w:val="000000"/>
          <w:sz w:val="28"/>
          <w:szCs w:val="28"/>
        </w:rPr>
        <w:t>Феникс, 2010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196" w:rsidRPr="00FE5409" w:rsidRDefault="00A97196" w:rsidP="00A97196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809">
        <w:rPr>
          <w:rFonts w:ascii="Times New Roman" w:hAnsi="Times New Roman" w:cs="Times New Roman"/>
          <w:color w:val="000000"/>
          <w:sz w:val="28"/>
          <w:szCs w:val="28"/>
        </w:rPr>
        <w:t>Ефимова О. В. Финансовый анализ</w:t>
      </w:r>
      <w:r w:rsidRPr="00FE5409">
        <w:rPr>
          <w:rFonts w:ascii="Times New Roman" w:hAnsi="Times New Roman" w:cs="Times New Roman"/>
          <w:color w:val="000000"/>
          <w:sz w:val="28"/>
          <w:szCs w:val="28"/>
        </w:rPr>
        <w:t>: современный инструментарий для принятия экономических решений. Учебник. – 3-е изд. – М.: Омега-Л, </w:t>
      </w:r>
      <w:r w:rsidRPr="00FE5409">
        <w:rPr>
          <w:rFonts w:ascii="Times New Roman" w:hAnsi="Times New Roman" w:cs="Times New Roman"/>
          <w:bCs/>
          <w:sz w:val="28"/>
          <w:szCs w:val="28"/>
        </w:rPr>
        <w:t>2010</w:t>
      </w:r>
      <w:r w:rsidRPr="00FE54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97196" w:rsidRPr="001F3809" w:rsidRDefault="00A97196" w:rsidP="00A97196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09">
        <w:rPr>
          <w:rFonts w:ascii="Times New Roman" w:hAnsi="Times New Roman" w:cs="Times New Roman"/>
          <w:color w:val="000000"/>
          <w:sz w:val="28"/>
          <w:szCs w:val="28"/>
        </w:rPr>
        <w:t>Сапарова Б.С. Финансовый менеджмент: Учеб. пособие / Под общ. ред.</w:t>
      </w:r>
      <w:r w:rsidRPr="001F3809">
        <w:rPr>
          <w:rFonts w:ascii="Times New Roman" w:hAnsi="Times New Roman" w:cs="Times New Roman"/>
          <w:color w:val="000000"/>
          <w:sz w:val="28"/>
          <w:szCs w:val="28"/>
        </w:rPr>
        <w:t xml:space="preserve"> У. </w:t>
      </w:r>
      <w:proofErr w:type="spellStart"/>
      <w:r w:rsidRPr="001F3809">
        <w:rPr>
          <w:rFonts w:ascii="Times New Roman" w:hAnsi="Times New Roman" w:cs="Times New Roman"/>
          <w:color w:val="000000"/>
          <w:sz w:val="28"/>
          <w:szCs w:val="28"/>
        </w:rPr>
        <w:t>Баймуратова</w:t>
      </w:r>
      <w:proofErr w:type="spellEnd"/>
      <w:r w:rsidRPr="001F3809">
        <w:rPr>
          <w:rFonts w:ascii="Times New Roman" w:hAnsi="Times New Roman" w:cs="Times New Roman"/>
          <w:color w:val="000000"/>
          <w:sz w:val="28"/>
          <w:szCs w:val="28"/>
        </w:rPr>
        <w:t xml:space="preserve">. - Алматы: Экономика, 2008. </w:t>
      </w:r>
    </w:p>
    <w:p w:rsidR="00A97196" w:rsidRPr="002B54B6" w:rsidRDefault="00A97196" w:rsidP="00A97196">
      <w:pPr>
        <w:widowControl w:val="0"/>
        <w:spacing w:after="0" w:line="240" w:lineRule="auto"/>
      </w:pPr>
      <w:bookmarkStart w:id="3" w:name="_GoBack"/>
      <w:bookmarkEnd w:id="3"/>
    </w:p>
    <w:p w:rsidR="00A97196" w:rsidRPr="00A97196" w:rsidRDefault="00A97196" w:rsidP="00A9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196" w:rsidRPr="00A97196" w:rsidRDefault="00A97196" w:rsidP="00A97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1E6" w:rsidRDefault="00EF61E6"/>
    <w:sectPr w:rsidR="00EF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2F0D"/>
    <w:multiLevelType w:val="hybridMultilevel"/>
    <w:tmpl w:val="6EEAA140"/>
    <w:lvl w:ilvl="0" w:tplc="6A302838">
      <w:start w:val="1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AC"/>
    <w:rsid w:val="001C17AC"/>
    <w:rsid w:val="00A97196"/>
    <w:rsid w:val="00E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1ED4"/>
  <w15:chartTrackingRefBased/>
  <w15:docId w15:val="{5518E881-63D5-4932-B71D-D91B9091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96"/>
    <w:pPr>
      <w:spacing w:after="200" w:line="276" w:lineRule="auto"/>
    </w:pPr>
  </w:style>
  <w:style w:type="paragraph" w:styleId="2">
    <w:name w:val="heading 2"/>
    <w:aliases w:val="Заголовок 2 Знак1,Заголовок 2 Знак Знак,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basedOn w:val="a"/>
    <w:next w:val="a"/>
    <w:link w:val="20"/>
    <w:uiPriority w:val="9"/>
    <w:unhideWhenUsed/>
    <w:qFormat/>
    <w:rsid w:val="00A9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19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A971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97196"/>
    <w:pPr>
      <w:spacing w:after="100"/>
      <w:ind w:left="220"/>
    </w:pPr>
  </w:style>
  <w:style w:type="character" w:customStyle="1" w:styleId="20">
    <w:name w:val="Заголовок 2 Знак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0"/>
    <w:link w:val="2"/>
    <w:uiPriority w:val="9"/>
    <w:rsid w:val="00A971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A9719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9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orda.kz/ru/addresses/addresses_of_presid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2018-11-08T11:12:00Z</dcterms:created>
  <dcterms:modified xsi:type="dcterms:W3CDTF">2018-11-08T11:15:00Z</dcterms:modified>
</cp:coreProperties>
</file>