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A7" w:rsidRDefault="00DA52A7" w:rsidP="00DA52A7">
      <w:pPr>
        <w:jc w:val="center"/>
        <w:rPr>
          <w:b/>
          <w:bCs/>
          <w:szCs w:val="28"/>
        </w:rPr>
      </w:pPr>
      <w:r w:rsidRPr="002E73B9">
        <w:rPr>
          <w:b/>
          <w:szCs w:val="28"/>
        </w:rPr>
        <w:t>У</w:t>
      </w:r>
      <w:r>
        <w:rPr>
          <w:b/>
          <w:szCs w:val="28"/>
        </w:rPr>
        <w:t>правление, учет, анализ и аудит дебиторской задолженности</w:t>
      </w:r>
      <w:r w:rsidRPr="002E73B9">
        <w:rPr>
          <w:b/>
          <w:bCs/>
          <w:szCs w:val="28"/>
        </w:rPr>
        <w:t xml:space="preserve"> </w:t>
      </w:r>
    </w:p>
    <w:p w:rsidR="00DA52A7" w:rsidRDefault="00DA52A7" w:rsidP="00DA52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Стр-96</w:t>
      </w:r>
    </w:p>
    <w:p w:rsidR="00DA52A7" w:rsidRPr="002E73B9" w:rsidRDefault="00DA52A7" w:rsidP="00DA52A7">
      <w:pPr>
        <w:jc w:val="left"/>
        <w:rPr>
          <w:b/>
          <w:bCs/>
          <w:szCs w:val="28"/>
        </w:rPr>
      </w:pPr>
    </w:p>
    <w:p w:rsidR="00DA52A7" w:rsidRDefault="00DA52A7" w:rsidP="00DA52A7">
      <w:pPr>
        <w:ind w:firstLine="0"/>
        <w:jc w:val="center"/>
        <w:rPr>
          <w:lang w:val="kk-KZ"/>
        </w:rPr>
      </w:pPr>
    </w:p>
    <w:p w:rsidR="00DA52A7" w:rsidRDefault="00DA52A7" w:rsidP="00DA52A7">
      <w:pPr>
        <w:ind w:firstLine="0"/>
        <w:jc w:val="center"/>
        <w:rPr>
          <w:lang w:val="kk-KZ"/>
        </w:rPr>
      </w:pPr>
    </w:p>
    <w:p w:rsidR="00DA52A7" w:rsidRDefault="00DA52A7" w:rsidP="00DA52A7">
      <w:pPr>
        <w:pStyle w:val="11"/>
        <w:tabs>
          <w:tab w:val="right" w:leader="dot" w:pos="9628"/>
        </w:tabs>
        <w:spacing w:before="0"/>
        <w:ind w:right="397" w:firstLine="0"/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</w:pPr>
      <w:r w:rsidRPr="0016463D">
        <w:rPr>
          <w:rFonts w:ascii="Times New Roman" w:hAnsi="Times New Roman" w:cs="Times New Roman"/>
          <w:b w:val="0"/>
          <w:sz w:val="28"/>
          <w:szCs w:val="28"/>
          <w:lang w:val="kk-KZ"/>
        </w:rPr>
        <w:fldChar w:fldCharType="begin"/>
      </w:r>
      <w:r w:rsidRPr="0016463D">
        <w:rPr>
          <w:rFonts w:ascii="Times New Roman" w:hAnsi="Times New Roman" w:cs="Times New Roman"/>
          <w:b w:val="0"/>
          <w:sz w:val="28"/>
          <w:szCs w:val="28"/>
          <w:lang w:val="kk-KZ"/>
        </w:rPr>
        <w:instrText xml:space="preserve"> TOC \o "1-2" \h \z \u </w:instrText>
      </w:r>
      <w:r w:rsidRPr="0016463D">
        <w:rPr>
          <w:rFonts w:ascii="Times New Roman" w:hAnsi="Times New Roman" w:cs="Times New Roman"/>
          <w:b w:val="0"/>
          <w:sz w:val="28"/>
          <w:szCs w:val="28"/>
          <w:lang w:val="kk-KZ"/>
        </w:rPr>
        <w:fldChar w:fldCharType="separate"/>
      </w:r>
      <w:hyperlink w:anchor="_Toc484539033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  <w:lang w:val="kk-KZ"/>
          </w:rPr>
          <w:t>Введение</w:t>
        </w:r>
      </w:hyperlink>
    </w:p>
    <w:p w:rsidR="00DA52A7" w:rsidRPr="00246600" w:rsidRDefault="00DA52A7" w:rsidP="00DA52A7">
      <w:pPr>
        <w:rPr>
          <w:noProof/>
        </w:rPr>
      </w:pPr>
    </w:p>
    <w:p w:rsidR="00DA52A7" w:rsidRPr="00246600" w:rsidRDefault="00DA52A7" w:rsidP="00DA52A7">
      <w:pPr>
        <w:pStyle w:val="11"/>
        <w:tabs>
          <w:tab w:val="right" w:leader="dot" w:pos="9628"/>
        </w:tabs>
        <w:spacing w:before="0"/>
        <w:ind w:right="397" w:firstLine="0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484539034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  <w:lang w:val="kk-KZ"/>
          </w:rPr>
          <w:t xml:space="preserve">1 </w:t>
        </w:r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Теоретические аспекты управления дебиторской задолженности</w:t>
        </w:r>
      </w:hyperlink>
    </w:p>
    <w:p w:rsidR="00DA52A7" w:rsidRPr="00246600" w:rsidRDefault="00DA52A7" w:rsidP="00DA52A7">
      <w:pPr>
        <w:pStyle w:val="2"/>
        <w:tabs>
          <w:tab w:val="right" w:leader="dot" w:pos="9628"/>
        </w:tabs>
        <w:spacing w:before="0"/>
        <w:ind w:right="397" w:firstLine="0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hyperlink w:anchor="_Toc484539035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1.1 Понятие, сущность и виды дебиторской задолженности</w:t>
        </w:r>
      </w:hyperlink>
    </w:p>
    <w:p w:rsidR="00DA52A7" w:rsidRDefault="00DA52A7" w:rsidP="00DA52A7">
      <w:pPr>
        <w:pStyle w:val="2"/>
        <w:tabs>
          <w:tab w:val="right" w:leader="dot" w:pos="9628"/>
        </w:tabs>
        <w:spacing w:before="0"/>
        <w:ind w:right="397" w:firstLine="0"/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</w:pPr>
      <w:hyperlink w:anchor="_Toc484539037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 xml:space="preserve">1.2 </w:t>
        </w:r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  <w:lang w:val="kk-KZ"/>
          </w:rPr>
          <w:t>Задачи учета и влияние дебиторской задолженности на финансовую устойчивость предприятия</w:t>
        </w:r>
      </w:hyperlink>
    </w:p>
    <w:p w:rsidR="00DA52A7" w:rsidRPr="00246600" w:rsidRDefault="00DA52A7" w:rsidP="00DA52A7">
      <w:pPr>
        <w:rPr>
          <w:noProof/>
        </w:rPr>
      </w:pPr>
    </w:p>
    <w:p w:rsidR="00DA52A7" w:rsidRPr="00246600" w:rsidRDefault="00DA52A7" w:rsidP="00DA52A7">
      <w:pPr>
        <w:pStyle w:val="11"/>
        <w:tabs>
          <w:tab w:val="right" w:leader="dot" w:pos="9628"/>
        </w:tabs>
        <w:spacing w:before="0"/>
        <w:ind w:right="397" w:firstLine="0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484539038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2 Учет дебиторской задолженности на предприятии КФ ТОО «»</w:t>
        </w:r>
      </w:hyperlink>
      <w:r w:rsidRPr="00246600"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  <w:t xml:space="preserve"> </w:t>
      </w:r>
    </w:p>
    <w:p w:rsidR="00DA52A7" w:rsidRPr="00246600" w:rsidRDefault="00DA52A7" w:rsidP="00DA52A7">
      <w:pPr>
        <w:pStyle w:val="2"/>
        <w:tabs>
          <w:tab w:val="right" w:leader="dot" w:pos="9628"/>
        </w:tabs>
        <w:spacing w:before="0"/>
        <w:ind w:right="397" w:firstLine="0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hyperlink w:anchor="_Toc484539039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2.1 Документальное оформление дебиторской задолженности на предприятии</w:t>
        </w:r>
      </w:hyperlink>
    </w:p>
    <w:p w:rsidR="00DA52A7" w:rsidRPr="00246600" w:rsidRDefault="00DA52A7" w:rsidP="00DA52A7">
      <w:pPr>
        <w:pStyle w:val="2"/>
        <w:tabs>
          <w:tab w:val="right" w:leader="dot" w:pos="9628"/>
        </w:tabs>
        <w:spacing w:before="0"/>
        <w:ind w:right="397" w:firstLine="0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hyperlink w:anchor="_Toc484539040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2.2 Синтетический и аналитический учет дебиторской задолженности КФ ТОО «»</w:t>
        </w:r>
      </w:hyperlink>
      <w:r w:rsidRPr="00246600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</w:t>
      </w:r>
    </w:p>
    <w:p w:rsidR="00DA52A7" w:rsidRDefault="00DA52A7" w:rsidP="00DA52A7">
      <w:pPr>
        <w:pStyle w:val="2"/>
        <w:tabs>
          <w:tab w:val="right" w:leader="dot" w:pos="9628"/>
        </w:tabs>
        <w:spacing w:before="0"/>
        <w:ind w:right="397" w:firstLine="0"/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</w:pPr>
      <w:hyperlink w:anchor="_Toc484539041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2.3 Учет сомнительной задолженности, порядок списания и методы оценки резервов на предприятии</w:t>
        </w:r>
      </w:hyperlink>
    </w:p>
    <w:p w:rsidR="00DA52A7" w:rsidRPr="00246600" w:rsidRDefault="00DA52A7" w:rsidP="00DA52A7">
      <w:pPr>
        <w:rPr>
          <w:noProof/>
        </w:rPr>
      </w:pPr>
    </w:p>
    <w:p w:rsidR="00DA52A7" w:rsidRPr="00246600" w:rsidRDefault="00DA52A7" w:rsidP="00DA52A7">
      <w:pPr>
        <w:pStyle w:val="11"/>
        <w:tabs>
          <w:tab w:val="right" w:leader="dot" w:pos="9628"/>
        </w:tabs>
        <w:spacing w:before="0"/>
        <w:ind w:right="397" w:firstLine="0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484539042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  <w:lang w:val="kk-KZ"/>
          </w:rPr>
          <w:t xml:space="preserve">3 Анализ и аудит расчетов по дебиторской задолженности на примере </w:t>
        </w:r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КФ ТОО «»</w:t>
        </w:r>
      </w:hyperlink>
      <w:r w:rsidRPr="00246600"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  <w:t xml:space="preserve"> </w:t>
      </w:r>
    </w:p>
    <w:p w:rsidR="00DA52A7" w:rsidRPr="00246600" w:rsidRDefault="00DA52A7" w:rsidP="00DA52A7">
      <w:pPr>
        <w:pStyle w:val="2"/>
        <w:tabs>
          <w:tab w:val="right" w:leader="dot" w:pos="9628"/>
        </w:tabs>
        <w:spacing w:before="0"/>
        <w:ind w:right="397" w:firstLine="0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hyperlink w:anchor="_Toc484539043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3.1 Оценка и анализ дебиторской задолженности предприятия</w:t>
        </w:r>
      </w:hyperlink>
    </w:p>
    <w:p w:rsidR="00DA52A7" w:rsidRPr="00246600" w:rsidRDefault="00DA52A7" w:rsidP="00DA52A7">
      <w:pPr>
        <w:pStyle w:val="2"/>
        <w:tabs>
          <w:tab w:val="right" w:leader="dot" w:pos="9628"/>
        </w:tabs>
        <w:spacing w:before="0"/>
        <w:ind w:right="397" w:firstLine="0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hyperlink w:anchor="_Toc484539044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3.2 Планирование аудита дебиторской задолженности на предприятии</w:t>
        </w:r>
      </w:hyperlink>
    </w:p>
    <w:p w:rsidR="00DA52A7" w:rsidRDefault="00DA52A7" w:rsidP="00DA52A7">
      <w:pPr>
        <w:pStyle w:val="2"/>
        <w:tabs>
          <w:tab w:val="right" w:leader="dot" w:pos="9628"/>
        </w:tabs>
        <w:spacing w:before="0"/>
        <w:ind w:right="397" w:firstLine="0"/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</w:pPr>
      <w:hyperlink w:anchor="_Toc484539045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3.3 Рекомендации по совершенствованию учета и управления дебиторской задолженности на предприятии</w:t>
        </w:r>
      </w:hyperlink>
    </w:p>
    <w:p w:rsidR="00DA52A7" w:rsidRPr="00246600" w:rsidRDefault="00DA52A7" w:rsidP="00DA52A7">
      <w:pPr>
        <w:rPr>
          <w:noProof/>
        </w:rPr>
      </w:pPr>
    </w:p>
    <w:p w:rsidR="00DA52A7" w:rsidRDefault="00DA52A7" w:rsidP="00DA52A7">
      <w:pPr>
        <w:pStyle w:val="11"/>
        <w:tabs>
          <w:tab w:val="right" w:leader="dot" w:pos="9628"/>
        </w:tabs>
        <w:spacing w:before="0"/>
        <w:ind w:right="397" w:firstLine="0"/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</w:pPr>
      <w:hyperlink w:anchor="_Toc484539046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  <w:lang w:val="kk-KZ"/>
          </w:rPr>
          <w:t>Заключение</w:t>
        </w:r>
      </w:hyperlink>
    </w:p>
    <w:p w:rsidR="00DA52A7" w:rsidRPr="00246600" w:rsidRDefault="00DA52A7" w:rsidP="00DA52A7">
      <w:pPr>
        <w:rPr>
          <w:noProof/>
        </w:rPr>
      </w:pPr>
    </w:p>
    <w:p w:rsidR="00DA52A7" w:rsidRDefault="00DA52A7" w:rsidP="00DA52A7">
      <w:pPr>
        <w:pStyle w:val="11"/>
        <w:tabs>
          <w:tab w:val="right" w:leader="dot" w:pos="9628"/>
        </w:tabs>
        <w:spacing w:before="0"/>
        <w:ind w:right="397" w:firstLine="0"/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</w:pPr>
      <w:hyperlink w:anchor="_Toc484539047" w:history="1">
        <w:r w:rsidRPr="0016463D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  <w:lang w:val="kk-KZ"/>
          </w:rPr>
          <w:t>Список использованной литературы</w:t>
        </w:r>
      </w:hyperlink>
    </w:p>
    <w:p w:rsidR="00DA52A7" w:rsidRPr="00246600" w:rsidRDefault="00DA52A7" w:rsidP="00DA52A7">
      <w:pPr>
        <w:rPr>
          <w:noProof/>
        </w:rPr>
      </w:pPr>
    </w:p>
    <w:p w:rsidR="00DA52A7" w:rsidRDefault="00DA52A7" w:rsidP="00DA52A7">
      <w:pPr>
        <w:rPr>
          <w:szCs w:val="28"/>
          <w:lang w:val="kk-KZ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267970</wp:posOffset>
                </wp:positionV>
                <wp:extent cx="430530" cy="476250"/>
                <wp:effectExtent l="3810" t="0" r="381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2A7" w:rsidRDefault="00DA52A7" w:rsidP="00DA5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6.25pt;margin-top:21.1pt;width:33.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" stroked="f">
                <v:textbox>
                  <w:txbxContent>
                    <w:p w:rsidR="00DA52A7" w:rsidRDefault="00DA52A7" w:rsidP="00DA52A7"/>
                  </w:txbxContent>
                </v:textbox>
              </v:shape>
            </w:pict>
          </mc:Fallback>
        </mc:AlternateContent>
      </w:r>
      <w:r w:rsidRPr="0016463D">
        <w:rPr>
          <w:szCs w:val="28"/>
          <w:lang w:val="kk-KZ"/>
        </w:rPr>
        <w:fldChar w:fldCharType="end"/>
      </w:r>
    </w:p>
    <w:p w:rsidR="00DA52A7" w:rsidRDefault="00DA52A7">
      <w:pPr>
        <w:spacing w:after="160" w:line="259" w:lineRule="auto"/>
        <w:ind w:firstLine="0"/>
        <w:jc w:val="left"/>
        <w:rPr>
          <w:szCs w:val="28"/>
          <w:lang w:val="kk-KZ"/>
        </w:rPr>
      </w:pPr>
      <w:r>
        <w:rPr>
          <w:szCs w:val="28"/>
          <w:lang w:val="kk-KZ"/>
        </w:rPr>
        <w:br w:type="page"/>
      </w:r>
    </w:p>
    <w:p w:rsidR="00DA52A7" w:rsidRDefault="00DA52A7" w:rsidP="00DA52A7">
      <w:pPr>
        <w:pStyle w:val="1"/>
        <w:rPr>
          <w:lang w:val="kk-KZ"/>
        </w:rPr>
      </w:pPr>
      <w:bookmarkStart w:id="0" w:name="_Toc343510475"/>
      <w:bookmarkStart w:id="1" w:name="_Toc343510568"/>
      <w:bookmarkStart w:id="2" w:name="_Toc484380705"/>
      <w:bookmarkStart w:id="3" w:name="_Toc484380736"/>
      <w:bookmarkStart w:id="4" w:name="_Toc484539046"/>
      <w:r>
        <w:rPr>
          <w:lang w:val="kk-KZ"/>
        </w:rPr>
        <w:lastRenderedPageBreak/>
        <w:t>Заключение</w:t>
      </w:r>
      <w:bookmarkEnd w:id="0"/>
      <w:bookmarkEnd w:id="1"/>
      <w:bookmarkEnd w:id="2"/>
      <w:bookmarkEnd w:id="3"/>
      <w:bookmarkEnd w:id="4"/>
    </w:p>
    <w:p w:rsidR="00DA52A7" w:rsidRDefault="00DA52A7" w:rsidP="00DA52A7">
      <w:pPr>
        <w:rPr>
          <w:lang w:val="kk-KZ"/>
        </w:rPr>
      </w:pPr>
    </w:p>
    <w:p w:rsidR="00DA52A7" w:rsidRDefault="00DA52A7" w:rsidP="00DA52A7">
      <w:pPr>
        <w:rPr>
          <w:lang w:val="kk-KZ"/>
        </w:rPr>
      </w:pPr>
    </w:p>
    <w:p w:rsidR="00DA52A7" w:rsidRPr="00DD1104" w:rsidRDefault="00DA52A7" w:rsidP="00DA52A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color w:val="000000"/>
          <w:szCs w:val="20"/>
        </w:rPr>
      </w:pPr>
      <w:r w:rsidRPr="00DD1104">
        <w:rPr>
          <w:color w:val="000000"/>
          <w:szCs w:val="20"/>
        </w:rPr>
        <w:t>Проведенное в дипломной работе исследование убедило в многоаспектности темы работы и позволило сделать вывод о том, что цель исследования достигнута, поскольку решены все задачи, поставленные для ее достижения, что подтверждается выводами по ключевым задачам.</w:t>
      </w:r>
    </w:p>
    <w:p w:rsidR="00DA52A7" w:rsidRPr="00DD1104" w:rsidRDefault="00DA52A7" w:rsidP="00DA52A7">
      <w:pPr>
        <w:widowControl w:val="0"/>
        <w:suppressAutoHyphens/>
        <w:ind w:firstLine="567"/>
        <w:rPr>
          <w:szCs w:val="28"/>
        </w:rPr>
      </w:pPr>
      <w:r w:rsidRPr="00DD1104">
        <w:rPr>
          <w:color w:val="000000"/>
          <w:szCs w:val="20"/>
        </w:rPr>
        <w:t xml:space="preserve">1) Изучение теоретических </w:t>
      </w:r>
      <w:r w:rsidRPr="00DD1104">
        <w:rPr>
          <w:szCs w:val="28"/>
        </w:rPr>
        <w:t>основ учета и аудита расчетов с покупателями и заказчиками позволило заключить следующее:</w:t>
      </w:r>
    </w:p>
    <w:p w:rsidR="00DA52A7" w:rsidRPr="00DD1104" w:rsidRDefault="00DA52A7" w:rsidP="00DA52A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color w:val="000000"/>
          <w:szCs w:val="20"/>
        </w:rPr>
      </w:pPr>
      <w:r w:rsidRPr="00DD1104">
        <w:rPr>
          <w:color w:val="000000"/>
          <w:szCs w:val="20"/>
        </w:rPr>
        <w:t xml:space="preserve">- под дебиторской </w:t>
      </w:r>
      <w:r>
        <w:rPr>
          <w:color w:val="000000"/>
          <w:szCs w:val="20"/>
        </w:rPr>
        <w:t>задолженность</w:t>
      </w:r>
      <w:r w:rsidRPr="00DD1104">
        <w:rPr>
          <w:color w:val="000000"/>
          <w:szCs w:val="20"/>
        </w:rPr>
        <w:t xml:space="preserve">ю понимаются все выражаемые в денежной форме обязательства отдельных физических юридических лиц и прочих дебиторов перед данным предприятием. Дебиторская </w:t>
      </w:r>
      <w:proofErr w:type="gramStart"/>
      <w:r>
        <w:rPr>
          <w:color w:val="000000"/>
          <w:szCs w:val="20"/>
        </w:rPr>
        <w:t xml:space="preserve">задолженность </w:t>
      </w:r>
      <w:r w:rsidRPr="00DD1104">
        <w:rPr>
          <w:color w:val="000000"/>
          <w:szCs w:val="20"/>
        </w:rPr>
        <w:t xml:space="preserve"> возникает</w:t>
      </w:r>
      <w:proofErr w:type="gramEnd"/>
      <w:r w:rsidRPr="00DD1104">
        <w:rPr>
          <w:color w:val="000000"/>
          <w:szCs w:val="20"/>
        </w:rPr>
        <w:t xml:space="preserve"> в ходе различных </w:t>
      </w:r>
      <w:r>
        <w:rPr>
          <w:color w:val="000000"/>
          <w:szCs w:val="20"/>
        </w:rPr>
        <w:t xml:space="preserve">операций </w:t>
      </w:r>
      <w:r w:rsidRPr="00DD1104">
        <w:rPr>
          <w:color w:val="000000"/>
          <w:szCs w:val="20"/>
        </w:rPr>
        <w:t xml:space="preserve">, чаще всего при реализации товаров, выполненных работ и оказанных услуг в кредит. В бухгалтерском учете и балансе дебиторская </w:t>
      </w:r>
      <w:proofErr w:type="gramStart"/>
      <w:r>
        <w:rPr>
          <w:color w:val="000000"/>
          <w:szCs w:val="20"/>
        </w:rPr>
        <w:t xml:space="preserve">задолженность </w:t>
      </w:r>
      <w:r w:rsidRPr="00DD1104">
        <w:rPr>
          <w:color w:val="000000"/>
          <w:szCs w:val="20"/>
        </w:rPr>
        <w:t xml:space="preserve"> отражается</w:t>
      </w:r>
      <w:proofErr w:type="gramEnd"/>
      <w:r w:rsidRPr="00DD1104">
        <w:rPr>
          <w:color w:val="000000"/>
          <w:szCs w:val="20"/>
        </w:rPr>
        <w:t xml:space="preserve"> по видам. </w:t>
      </w:r>
    </w:p>
    <w:p w:rsidR="00DA52A7" w:rsidRDefault="00DA52A7">
      <w:pPr>
        <w:spacing w:after="160" w:line="259" w:lineRule="auto"/>
        <w:ind w:firstLine="0"/>
        <w:jc w:val="left"/>
      </w:pPr>
      <w:r>
        <w:br w:type="page"/>
      </w:r>
    </w:p>
    <w:p w:rsidR="00DA52A7" w:rsidRDefault="00DA52A7" w:rsidP="00DA52A7">
      <w:pPr>
        <w:pStyle w:val="1"/>
        <w:rPr>
          <w:lang w:val="kk-KZ"/>
        </w:rPr>
      </w:pPr>
      <w:bookmarkStart w:id="5" w:name="_Toc343510476"/>
      <w:bookmarkStart w:id="6" w:name="_Toc343510569"/>
      <w:bookmarkStart w:id="7" w:name="_Toc484380706"/>
      <w:bookmarkStart w:id="8" w:name="_Toc484380737"/>
      <w:bookmarkStart w:id="9" w:name="_Toc484539047"/>
      <w:r>
        <w:rPr>
          <w:lang w:val="kk-KZ"/>
        </w:rPr>
        <w:lastRenderedPageBreak/>
        <w:t>Список использованной литературы</w:t>
      </w:r>
      <w:bookmarkEnd w:id="5"/>
      <w:bookmarkEnd w:id="6"/>
      <w:bookmarkEnd w:id="7"/>
      <w:bookmarkEnd w:id="8"/>
      <w:bookmarkEnd w:id="9"/>
    </w:p>
    <w:p w:rsidR="00DA52A7" w:rsidRDefault="00DA52A7" w:rsidP="00DA52A7">
      <w:pPr>
        <w:rPr>
          <w:lang w:val="en-US"/>
        </w:rPr>
      </w:pPr>
    </w:p>
    <w:p w:rsidR="00DA52A7" w:rsidRDefault="00DA52A7" w:rsidP="00DA52A7">
      <w:pPr>
        <w:rPr>
          <w:lang w:val="en-US"/>
        </w:rPr>
      </w:pPr>
    </w:p>
    <w:p w:rsidR="00DA52A7" w:rsidRPr="004F6BC8" w:rsidRDefault="00DA52A7" w:rsidP="00DA52A7">
      <w:pPr>
        <w:pStyle w:val="20"/>
        <w:numPr>
          <w:ilvl w:val="0"/>
          <w:numId w:val="1"/>
        </w:numPr>
        <w:tabs>
          <w:tab w:val="clear" w:pos="4755"/>
          <w:tab w:val="left" w:pos="882"/>
          <w:tab w:val="num" w:pos="2694"/>
        </w:tabs>
        <w:spacing w:line="240" w:lineRule="auto"/>
        <w:ind w:left="0" w:firstLine="567"/>
      </w:pPr>
      <w:r w:rsidRPr="004F6BC8">
        <w:t xml:space="preserve">Послание </w:t>
      </w:r>
      <w:r w:rsidRPr="004F6BC8">
        <w:fldChar w:fldCharType="begin"/>
      </w:r>
      <w:r w:rsidRPr="004F6BC8">
        <w:instrText xml:space="preserve">eq Президента </w:instrText>
      </w:r>
      <w:r w:rsidRPr="004F6BC8">
        <w:fldChar w:fldCharType="end"/>
      </w:r>
      <w:r w:rsidRPr="004F6BC8">
        <w:t xml:space="preserve">Республики </w:t>
      </w:r>
      <w:r w:rsidRPr="004F6BC8">
        <w:fldChar w:fldCharType="begin"/>
      </w:r>
      <w:r w:rsidRPr="004F6BC8">
        <w:instrText xml:space="preserve">eq Казахстан </w:instrText>
      </w:r>
      <w:r w:rsidRPr="004F6BC8">
        <w:fldChar w:fldCharType="end"/>
      </w:r>
      <w:r w:rsidRPr="004F6BC8">
        <w:t xml:space="preserve">от 31 </w:t>
      </w:r>
      <w:r w:rsidRPr="004F6BC8">
        <w:fldChar w:fldCharType="begin"/>
      </w:r>
      <w:r w:rsidRPr="004F6BC8">
        <w:instrText xml:space="preserve">eq января </w:instrText>
      </w:r>
      <w:r w:rsidRPr="004F6BC8">
        <w:fldChar w:fldCharType="end"/>
      </w:r>
      <w:r w:rsidRPr="004F6BC8">
        <w:t xml:space="preserve">2017 года «Третья </w:t>
      </w:r>
      <w:r w:rsidRPr="004F6BC8">
        <w:fldChar w:fldCharType="begin"/>
      </w:r>
      <w:r w:rsidRPr="004F6BC8">
        <w:instrText xml:space="preserve">eq модернизация </w:instrText>
      </w:r>
      <w:r w:rsidRPr="004F6BC8">
        <w:fldChar w:fldCharType="end"/>
      </w:r>
      <w:r w:rsidRPr="004F6BC8">
        <w:t xml:space="preserve">Казахстана: </w:t>
      </w:r>
      <w:r w:rsidRPr="004F6BC8">
        <w:fldChar w:fldCharType="begin"/>
      </w:r>
      <w:r w:rsidRPr="004F6BC8">
        <w:instrText xml:space="preserve">eq глобальная </w:instrText>
      </w:r>
      <w:r w:rsidRPr="004F6BC8">
        <w:fldChar w:fldCharType="end"/>
      </w:r>
      <w:r w:rsidRPr="004F6BC8">
        <w:t>конкурентоспособность».</w:t>
      </w:r>
    </w:p>
    <w:p w:rsidR="00DA52A7" w:rsidRDefault="00DA52A7" w:rsidP="00DA52A7">
      <w:pPr>
        <w:pStyle w:val="20"/>
        <w:numPr>
          <w:ilvl w:val="0"/>
          <w:numId w:val="1"/>
        </w:numPr>
        <w:tabs>
          <w:tab w:val="clear" w:pos="4755"/>
          <w:tab w:val="left" w:pos="882"/>
          <w:tab w:val="num" w:pos="2694"/>
        </w:tabs>
        <w:spacing w:line="240" w:lineRule="auto"/>
        <w:ind w:left="0" w:firstLine="567"/>
      </w:pPr>
      <w:r>
        <w:t>Толпаков Ж.С. Бухгалтерский учет: Учебник для вузов. - Караганда, ОАО «Карагандинская Полиграфия», 2013.-983 с.</w:t>
      </w:r>
    </w:p>
    <w:p w:rsidR="00DA52A7" w:rsidRDefault="00DA52A7" w:rsidP="00DA52A7">
      <w:pPr>
        <w:pStyle w:val="20"/>
        <w:numPr>
          <w:ilvl w:val="0"/>
          <w:numId w:val="1"/>
        </w:numPr>
        <w:tabs>
          <w:tab w:val="clear" w:pos="4755"/>
          <w:tab w:val="left" w:pos="882"/>
          <w:tab w:val="num" w:pos="2694"/>
        </w:tabs>
        <w:spacing w:line="240" w:lineRule="auto"/>
        <w:ind w:left="0" w:firstLine="567"/>
      </w:pPr>
      <w:r>
        <w:t>Нурсеитов Э.О. Бухгалтерский учет в организациях/Учебное пособие. – Алматы, 201</w:t>
      </w:r>
      <w:r w:rsidRPr="004F6BC8">
        <w:t>3</w:t>
      </w:r>
      <w:r>
        <w:t>.-472с.</w:t>
      </w:r>
    </w:p>
    <w:p w:rsidR="00DA52A7" w:rsidRDefault="00DA52A7" w:rsidP="00DA52A7">
      <w:pPr>
        <w:pStyle w:val="20"/>
        <w:numPr>
          <w:ilvl w:val="0"/>
          <w:numId w:val="1"/>
        </w:numPr>
        <w:tabs>
          <w:tab w:val="clear" w:pos="4755"/>
          <w:tab w:val="left" w:pos="882"/>
          <w:tab w:val="num" w:pos="2694"/>
        </w:tabs>
        <w:spacing w:line="240" w:lineRule="auto"/>
        <w:ind w:left="0" w:firstLine="567"/>
      </w:pPr>
      <w:r>
        <w:t xml:space="preserve">МСФО (IAS) </w:t>
      </w:r>
      <w:r w:rsidRPr="004F6BC8">
        <w:rPr>
          <w:iCs/>
        </w:rPr>
        <w:t>39</w:t>
      </w:r>
      <w:r w:rsidRPr="00ED32EF">
        <w:rPr>
          <w:i/>
          <w:iCs/>
        </w:rPr>
        <w:t xml:space="preserve"> </w:t>
      </w:r>
      <w:r w:rsidRPr="00ED32EF">
        <w:t>«Финансовые инструменты: признание и оценка</w:t>
      </w:r>
      <w:r>
        <w:t>»</w:t>
      </w:r>
    </w:p>
    <w:p w:rsidR="00DA52A7" w:rsidRDefault="00DA52A7" w:rsidP="00DA52A7">
      <w:pPr>
        <w:pStyle w:val="20"/>
        <w:numPr>
          <w:ilvl w:val="0"/>
          <w:numId w:val="1"/>
        </w:numPr>
        <w:tabs>
          <w:tab w:val="clear" w:pos="4755"/>
          <w:tab w:val="left" w:pos="882"/>
          <w:tab w:val="num" w:pos="2694"/>
        </w:tabs>
        <w:spacing w:line="240" w:lineRule="auto"/>
        <w:ind w:left="0" w:firstLine="567"/>
      </w:pPr>
      <w:r>
        <w:t>Национальный стандарт финансовой отчетности, утвержденный Приказом Министра финансов РК от 31.01.2013 года №50</w:t>
      </w:r>
    </w:p>
    <w:p w:rsidR="00750E66" w:rsidRDefault="00750E66" w:rsidP="00DA52A7">
      <w:bookmarkStart w:id="10" w:name="_GoBack"/>
      <w:bookmarkEnd w:id="10"/>
    </w:p>
    <w:sectPr w:rsidR="0075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D2203"/>
    <w:multiLevelType w:val="hybridMultilevel"/>
    <w:tmpl w:val="2A42846A"/>
    <w:lvl w:ilvl="0" w:tplc="7E004EE8">
      <w:start w:val="1"/>
      <w:numFmt w:val="decimal"/>
      <w:lvlText w:val="%1"/>
      <w:lvlJc w:val="left"/>
      <w:pPr>
        <w:tabs>
          <w:tab w:val="num" w:pos="4755"/>
        </w:tabs>
        <w:ind w:left="475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D8"/>
    <w:rsid w:val="001431D8"/>
    <w:rsid w:val="00750E66"/>
    <w:rsid w:val="00D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DD6F"/>
  <w15:chartTrackingRefBased/>
  <w15:docId w15:val="{9A418923-F6F0-45D0-9E6B-2A68770B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A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DA52A7"/>
    <w:pPr>
      <w:keepNext/>
      <w:ind w:firstLine="567"/>
      <w:outlineLvl w:val="0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DA52A7"/>
    <w:pPr>
      <w:spacing w:before="360"/>
      <w:jc w:val="left"/>
    </w:pPr>
    <w:rPr>
      <w:rFonts w:ascii="Calibri Light" w:hAnsi="Calibri Light" w:cs="Calibri Light"/>
      <w:b/>
      <w:bCs/>
      <w:caps/>
      <w:sz w:val="24"/>
    </w:rPr>
  </w:style>
  <w:style w:type="paragraph" w:styleId="2">
    <w:name w:val="toc 2"/>
    <w:basedOn w:val="a"/>
    <w:next w:val="a"/>
    <w:autoRedefine/>
    <w:uiPriority w:val="39"/>
    <w:rsid w:val="00DA52A7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character" w:styleId="a3">
    <w:name w:val="Hyperlink"/>
    <w:uiPriority w:val="99"/>
    <w:rsid w:val="00DA52A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A52A7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20">
    <w:name w:val="Body Text Indent 2"/>
    <w:aliases w:val=" Знак"/>
    <w:basedOn w:val="a"/>
    <w:link w:val="21"/>
    <w:semiHidden/>
    <w:rsid w:val="00DA52A7"/>
    <w:pPr>
      <w:widowControl w:val="0"/>
      <w:spacing w:line="360" w:lineRule="auto"/>
      <w:ind w:firstLine="454"/>
    </w:pPr>
    <w:rPr>
      <w:noProof/>
      <w:color w:val="000000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DA52A7"/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2017-11-03T05:47:00Z</dcterms:created>
  <dcterms:modified xsi:type="dcterms:W3CDTF">2017-11-03T05:52:00Z</dcterms:modified>
</cp:coreProperties>
</file>