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5B" w:rsidRDefault="006D3F4F" w:rsidP="006D3F4F">
      <w:pPr>
        <w:jc w:val="center"/>
        <w:rPr>
          <w:rFonts w:ascii="Times New Roman" w:hAnsi="Times New Roman" w:cs="Times New Roman"/>
          <w:b/>
          <w:sz w:val="28"/>
        </w:rPr>
      </w:pPr>
      <w:r w:rsidRPr="006D3F4F">
        <w:rPr>
          <w:rFonts w:ascii="Times New Roman" w:hAnsi="Times New Roman" w:cs="Times New Roman"/>
        </w:rPr>
        <w:t>Диссертация_</w:t>
      </w:r>
      <w:r w:rsidRPr="006D3F4F">
        <w:rPr>
          <w:rFonts w:ascii="Times New Roman" w:hAnsi="Times New Roman" w:cs="Times New Roman"/>
          <w:sz w:val="28"/>
        </w:rPr>
        <w:t xml:space="preserve"> </w:t>
      </w:r>
      <w:r w:rsidRPr="006D3F4F">
        <w:rPr>
          <w:rFonts w:ascii="Times New Roman" w:hAnsi="Times New Roman" w:cs="Times New Roman"/>
          <w:b/>
          <w:sz w:val="28"/>
        </w:rPr>
        <w:t xml:space="preserve">РАЗВИТИЕ </w:t>
      </w:r>
      <w:bookmarkStart w:id="0" w:name="_GoBack"/>
      <w:r w:rsidR="0018053E">
        <w:rPr>
          <w:rFonts w:ascii="Times New Roman" w:hAnsi="Times New Roman" w:cs="Times New Roman"/>
          <w:b/>
          <w:sz w:val="28"/>
        </w:rPr>
        <w:t>МАРКЕТИНГОВОЙ СТРАТЕГИИ</w:t>
      </w:r>
    </w:p>
    <w:bookmarkEnd w:id="0"/>
    <w:p w:rsidR="006D3F4F" w:rsidRPr="006D3F4F" w:rsidRDefault="006D3F4F" w:rsidP="006D3F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Стр_54</w:t>
      </w:r>
    </w:p>
    <w:p w:rsidR="006D3F4F" w:rsidRPr="006D3F4F" w:rsidRDefault="006D3F4F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6D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D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TOC \o "1-3" \h \z \u </w:instrText>
      </w:r>
      <w:r w:rsidRPr="006D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00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 ВВЕДЕНИЕ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01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 Актуальность темы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02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 Цель бизнес проекта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03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 Задачи бизнес проекта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04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1.4 Ожидаемый результат от внедрения бизнес плана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05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 ПРОБЛЕМА КОМПАНИИ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06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Характеристика компании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08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Главная проблема компании: формулировка</w:t>
        </w:r>
      </w:hyperlink>
    </w:p>
    <w:p w:rsidR="006D3F4F" w:rsidRDefault="0018053E" w:rsidP="006D3F4F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</w:pPr>
      <w:hyperlink w:anchor="_Toc80633309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2.3 Главная проблема компании: причины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12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2.4 Доказательная база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18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2.5 Возможные последствия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20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РЕКОМЕНДАЦИИ НО РЕШЕНИЮ ПРОБЛЕМЫ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21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Сегментирование потенциальных потребителей продукции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30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Приоритетные действия по увеличению продаж на рынке В2В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37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3.3 Маркетинговый план развития на рынке В2С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41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 ВНЕДРЕНИЕ РЕКОМЕНДАЦИЙ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42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4.1 Бюджет затрат на реализацию рекомендаций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45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4.2 Оценка рисков внедрения рекомендаций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47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4.2 Результаты внедрения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48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4.3 Прогноз будущего</w:t>
        </w:r>
      </w:hyperlink>
    </w:p>
    <w:p w:rsidR="006D3F4F" w:rsidRPr="006D3F4F" w:rsidRDefault="0018053E" w:rsidP="006D3F4F">
      <w:pPr>
        <w:tabs>
          <w:tab w:val="right" w:leader="dot" w:pos="9345"/>
        </w:tabs>
        <w:spacing w:after="100" w:line="240" w:lineRule="auto"/>
        <w:rPr>
          <w:rFonts w:eastAsiaTheme="minorEastAsia"/>
          <w:noProof/>
          <w:sz w:val="28"/>
          <w:szCs w:val="28"/>
          <w:lang w:eastAsia="ru-RU"/>
        </w:rPr>
      </w:pPr>
      <w:hyperlink w:anchor="_Toc80633352" w:history="1">
        <w:r w:rsidR="006D3F4F" w:rsidRPr="006D3F4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ИСПОЛЬЗОВАННЫХ ИСТОЧНИКОВ</w:t>
        </w:r>
      </w:hyperlink>
    </w:p>
    <w:p w:rsidR="006D3F4F" w:rsidRDefault="006D3F4F" w:rsidP="006D3F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6D3F4F" w:rsidRDefault="006D3F4F" w:rsidP="006D3F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4F" w:rsidRDefault="006D3F4F" w:rsidP="006D3F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4F" w:rsidRDefault="006D3F4F" w:rsidP="006D3F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4F" w:rsidRDefault="006D3F4F" w:rsidP="006D3F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4F" w:rsidRDefault="006D3F4F" w:rsidP="006D3F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4F" w:rsidRDefault="006D3F4F" w:rsidP="006D3F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4F" w:rsidRDefault="006D3F4F" w:rsidP="006D3F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F4F" w:rsidRPr="006D3F4F" w:rsidRDefault="006D3F4F" w:rsidP="006D3F4F">
      <w:pPr>
        <w:jc w:val="center"/>
        <w:rPr>
          <w:rFonts w:ascii="Times New Roman" w:hAnsi="Times New Roman" w:cs="Times New Roman"/>
          <w:sz w:val="28"/>
        </w:rPr>
      </w:pPr>
      <w:r w:rsidRPr="006D3F4F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6D3F4F" w:rsidRPr="006D3F4F" w:rsidRDefault="006D3F4F" w:rsidP="006D3F4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F4F">
        <w:rPr>
          <w:rFonts w:ascii="Times New Roman" w:hAnsi="Times New Roman" w:cs="Times New Roman"/>
          <w:sz w:val="28"/>
          <w:szCs w:val="28"/>
        </w:rPr>
        <w:t xml:space="preserve">Ожидаемые результаты от реализации маркетинговой стратегии </w:t>
      </w:r>
      <w:r w:rsidRPr="006D3F4F">
        <w:rPr>
          <w:rFonts w:ascii="Times New Roman" w:eastAsia="MS Mincho" w:hAnsi="Times New Roman" w:cs="Times New Roman"/>
          <w:color w:val="0D0D0D"/>
          <w:sz w:val="28"/>
          <w:szCs w:val="28"/>
        </w:rPr>
        <w:t xml:space="preserve">ТОО «» </w:t>
      </w:r>
      <w:r w:rsidRPr="006D3F4F">
        <w:rPr>
          <w:rFonts w:ascii="Times New Roman" w:hAnsi="Times New Roman" w:cs="Times New Roman"/>
          <w:sz w:val="28"/>
          <w:szCs w:val="28"/>
        </w:rPr>
        <w:t>до 2025 года:</w:t>
      </w:r>
    </w:p>
    <w:p w:rsidR="006D3F4F" w:rsidRPr="006D3F4F" w:rsidRDefault="006D3F4F" w:rsidP="006D3F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F4F">
        <w:rPr>
          <w:rFonts w:ascii="Times New Roman" w:hAnsi="Times New Roman" w:cs="Times New Roman"/>
          <w:sz w:val="28"/>
          <w:szCs w:val="28"/>
        </w:rPr>
        <w:t>войти в тройку лидеров отрасли по объемам выпуска и прибыльности, работая во всех трёх сегментах рынка – азотном, фосфорном и калийном;</w:t>
      </w:r>
    </w:p>
    <w:p w:rsidR="006D3F4F" w:rsidRPr="006D3F4F" w:rsidRDefault="006D3F4F" w:rsidP="006D3F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F4F">
        <w:rPr>
          <w:rFonts w:ascii="Times New Roman" w:hAnsi="Times New Roman" w:cs="Times New Roman"/>
          <w:sz w:val="28"/>
          <w:szCs w:val="28"/>
        </w:rPr>
        <w:t>увеличение мощностей и объемов производства, расширение линейки продукции;</w:t>
      </w:r>
    </w:p>
    <w:p w:rsidR="006D3F4F" w:rsidRPr="006D3F4F" w:rsidRDefault="006D3F4F" w:rsidP="006D3F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F4F">
        <w:rPr>
          <w:rFonts w:ascii="Times New Roman" w:hAnsi="Times New Roman" w:cs="Times New Roman"/>
          <w:sz w:val="28"/>
          <w:szCs w:val="28"/>
        </w:rPr>
        <w:t>начало производства собственного хлористого калия, завершение вертикальной интеграции;</w:t>
      </w:r>
    </w:p>
    <w:p w:rsidR="006D3F4F" w:rsidRPr="006D3F4F" w:rsidRDefault="006D3F4F" w:rsidP="006D3F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F4F">
        <w:rPr>
          <w:rFonts w:ascii="Times New Roman" w:hAnsi="Times New Roman" w:cs="Times New Roman"/>
          <w:sz w:val="28"/>
          <w:szCs w:val="28"/>
        </w:rPr>
        <w:t>значительное расширение дистрибуции и увеличение глубины проникновения на ключевые рынки,</w:t>
      </w:r>
    </w:p>
    <w:p w:rsidR="006D3F4F" w:rsidRPr="00E64637" w:rsidRDefault="006D3F4F" w:rsidP="006D3F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cs="Times New Roman"/>
          <w:sz w:val="28"/>
          <w:szCs w:val="28"/>
        </w:rPr>
      </w:pPr>
      <w:r w:rsidRPr="006D3F4F">
        <w:rPr>
          <w:rFonts w:ascii="Times New Roman" w:hAnsi="Times New Roman" w:cs="Times New Roman"/>
          <w:sz w:val="28"/>
          <w:szCs w:val="28"/>
        </w:rPr>
        <w:t>сохранить и увеличить свои конкурентные преимущества по себестоимости за счет вертикальной интеграции и инвестиций в повышение эффективности</w:t>
      </w:r>
      <w:r w:rsidRPr="00E64637">
        <w:rPr>
          <w:rFonts w:cs="Times New Roman"/>
          <w:sz w:val="28"/>
          <w:szCs w:val="28"/>
        </w:rPr>
        <w:t>.</w:t>
      </w: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Default="006D3F4F" w:rsidP="006D3F4F">
      <w:pPr>
        <w:rPr>
          <w:rFonts w:ascii="Times New Roman" w:hAnsi="Times New Roman" w:cs="Times New Roman"/>
          <w:sz w:val="28"/>
        </w:rPr>
      </w:pPr>
    </w:p>
    <w:p w:rsidR="006D3F4F" w:rsidRPr="006D3F4F" w:rsidRDefault="006D3F4F" w:rsidP="006D3F4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Toc77289561"/>
      <w:bookmarkStart w:id="2" w:name="_Toc77289621"/>
      <w:bookmarkStart w:id="3" w:name="_Toc80633352"/>
      <w:bookmarkStart w:id="4" w:name="_Toc80633422"/>
      <w:bookmarkStart w:id="5" w:name="_Toc80633500"/>
      <w:r w:rsidRPr="006D3F4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ИСПОЛЬЗОВАННЫХ ИСТОЧНИКОВ</w:t>
      </w:r>
      <w:bookmarkEnd w:id="1"/>
      <w:bookmarkEnd w:id="2"/>
      <w:bookmarkEnd w:id="3"/>
      <w:bookmarkEnd w:id="4"/>
      <w:bookmarkEnd w:id="5"/>
    </w:p>
    <w:p w:rsidR="006D3F4F" w:rsidRPr="006D3F4F" w:rsidRDefault="006D3F4F" w:rsidP="006D3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3F4F" w:rsidRPr="006D3F4F" w:rsidRDefault="006D3F4F" w:rsidP="006D3F4F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3F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История успеха ТОО «</w:t>
      </w:r>
      <w:proofErr w:type="spellStart"/>
      <w:r w:rsidRPr="006D3F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ЕвроХим</w:t>
      </w:r>
      <w:proofErr w:type="spellEnd"/>
      <w:r w:rsidRPr="006D3F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-Каратау» Источник: </w:t>
      </w:r>
      <w:hyperlink r:id="rId5" w:history="1">
        <w:r w:rsidRPr="006D3F4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https://invest.gov.kz/ru/about-kazakhstan/success-story/6566/</w:t>
        </w:r>
      </w:hyperlink>
    </w:p>
    <w:p w:rsidR="006D3F4F" w:rsidRPr="006D3F4F" w:rsidRDefault="006D3F4F" w:rsidP="006D3F4F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3F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Статистические данные Бюро национальной статистики Агентства по стратегическому планированию и реформам Республики Казахстан https://stat.gov.kz/official/industry/14/statistic/5</w:t>
      </w:r>
    </w:p>
    <w:p w:rsidR="006D3F4F" w:rsidRPr="006D3F4F" w:rsidRDefault="006D3F4F" w:rsidP="006D3F4F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3F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Производство фосфорных удобрений выросло на 55% https://kapital.kz/economic/85238/proizvodstvo-fosfornykh-udobreniy-vyroslo-na-55.html</w:t>
      </w:r>
    </w:p>
    <w:p w:rsidR="006D3F4F" w:rsidRPr="006D3F4F" w:rsidRDefault="006D3F4F" w:rsidP="006D3F4F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3F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Казахстане функционируют 11 производителей минеральных удобрений https://bossagro.kz/v-kazaxstane-funkcioniruyut-11-proizvoditelej-mineralnyx-udobrenij/</w:t>
      </w:r>
    </w:p>
    <w:p w:rsidR="006D3F4F" w:rsidRPr="006D3F4F" w:rsidRDefault="006D3F4F" w:rsidP="006D3F4F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3F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Производство минеральных удобрений в Казахстане Источник: https://agro-mart.kz/proizvodstvo-mineralnyh-udobrenij-v-kazahstane/</w:t>
      </w:r>
    </w:p>
    <w:p w:rsidR="006D3F4F" w:rsidRPr="006D3F4F" w:rsidRDefault="006D3F4F" w:rsidP="006D3F4F">
      <w:pPr>
        <w:rPr>
          <w:rFonts w:ascii="Times New Roman" w:hAnsi="Times New Roman" w:cs="Times New Roman"/>
          <w:sz w:val="28"/>
        </w:rPr>
      </w:pPr>
    </w:p>
    <w:sectPr w:rsidR="006D3F4F" w:rsidRPr="006D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60A"/>
    <w:multiLevelType w:val="hybridMultilevel"/>
    <w:tmpl w:val="C9DC8566"/>
    <w:lvl w:ilvl="0" w:tplc="8BA00BF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97C03"/>
    <w:multiLevelType w:val="multilevel"/>
    <w:tmpl w:val="6E58A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D1"/>
    <w:rsid w:val="0018053E"/>
    <w:rsid w:val="002156D1"/>
    <w:rsid w:val="006D3F4F"/>
    <w:rsid w:val="009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217F"/>
  <w15:chartTrackingRefBased/>
  <w15:docId w15:val="{FC951F67-393C-4727-9495-92B872C5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.gov.kz/ru/about-kazakhstan/success-story/6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2023-01-05T07:25:00Z</dcterms:created>
  <dcterms:modified xsi:type="dcterms:W3CDTF">2023-02-13T07:21:00Z</dcterms:modified>
</cp:coreProperties>
</file>