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E1" w:rsidRDefault="00B936E1" w:rsidP="00B936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3A2F">
        <w:rPr>
          <w:rFonts w:ascii="Times New Roman" w:hAnsi="Times New Roman"/>
          <w:color w:val="000000"/>
          <w:sz w:val="28"/>
          <w:szCs w:val="28"/>
        </w:rPr>
        <w:t>Тема: Конкурентные стратегии и их реализация в деятельности компании</w:t>
      </w:r>
    </w:p>
    <w:p w:rsidR="00B936E1" w:rsidRPr="00543A2F" w:rsidRDefault="00B936E1" w:rsidP="00B936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Стр_58</w:t>
      </w:r>
    </w:p>
    <w:p w:rsidR="00B936E1" w:rsidRPr="00543A2F" w:rsidRDefault="00B936E1" w:rsidP="00B936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48"/>
        <w:gridCol w:w="507"/>
      </w:tblGrid>
      <w:tr w:rsidR="00B936E1" w:rsidRPr="00543A2F" w:rsidTr="00490391">
        <w:tc>
          <w:tcPr>
            <w:tcW w:w="9322" w:type="dxa"/>
          </w:tcPr>
          <w:p w:rsidR="00B936E1" w:rsidRPr="00543A2F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A2F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</w:tcPr>
          <w:p w:rsidR="00B936E1" w:rsidRPr="00543A2F" w:rsidRDefault="00B936E1" w:rsidP="00490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36E1" w:rsidRPr="00543A2F" w:rsidTr="00490391">
        <w:tc>
          <w:tcPr>
            <w:tcW w:w="9322" w:type="dxa"/>
          </w:tcPr>
          <w:p w:rsidR="00B936E1" w:rsidRPr="00543A2F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A2F">
              <w:rPr>
                <w:rFonts w:ascii="Times New Roman" w:hAnsi="Times New Roman"/>
                <w:color w:val="000000"/>
                <w:sz w:val="28"/>
                <w:szCs w:val="28"/>
              </w:rPr>
              <w:t>1 ТЕОРЕТИЧЕСКИЕ ОСНОВЫ КОНКУРЕНТНЫХ СТРАТЕГИЙ КОМПАНИИ</w:t>
            </w:r>
          </w:p>
        </w:tc>
        <w:tc>
          <w:tcPr>
            <w:tcW w:w="532" w:type="dxa"/>
          </w:tcPr>
          <w:p w:rsidR="00B936E1" w:rsidRPr="00543A2F" w:rsidRDefault="00B936E1" w:rsidP="00490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36E1" w:rsidRPr="00543A2F" w:rsidTr="00490391">
        <w:tc>
          <w:tcPr>
            <w:tcW w:w="9322" w:type="dxa"/>
          </w:tcPr>
          <w:p w:rsidR="00B936E1" w:rsidRPr="00543A2F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A2F">
              <w:rPr>
                <w:rFonts w:ascii="Times New Roman" w:hAnsi="Times New Roman"/>
                <w:color w:val="000000"/>
                <w:sz w:val="28"/>
                <w:szCs w:val="28"/>
              </w:rPr>
              <w:t>1.1 Понятие и сущность конкурентных стратегий компании</w:t>
            </w:r>
          </w:p>
        </w:tc>
        <w:tc>
          <w:tcPr>
            <w:tcW w:w="532" w:type="dxa"/>
          </w:tcPr>
          <w:p w:rsidR="00B936E1" w:rsidRPr="00543A2F" w:rsidRDefault="00B936E1" w:rsidP="00490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36E1" w:rsidRPr="00543A2F" w:rsidTr="00490391">
        <w:tc>
          <w:tcPr>
            <w:tcW w:w="9322" w:type="dxa"/>
          </w:tcPr>
          <w:p w:rsidR="00B936E1" w:rsidRPr="00543A2F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A2F">
              <w:rPr>
                <w:rFonts w:ascii="Times New Roman" w:hAnsi="Times New Roman"/>
                <w:color w:val="000000"/>
                <w:sz w:val="28"/>
                <w:szCs w:val="28"/>
              </w:rPr>
              <w:t>1.2 Классификация конкурентных стратегий</w:t>
            </w:r>
          </w:p>
        </w:tc>
        <w:tc>
          <w:tcPr>
            <w:tcW w:w="532" w:type="dxa"/>
          </w:tcPr>
          <w:p w:rsidR="00B936E1" w:rsidRPr="00543A2F" w:rsidRDefault="00B936E1" w:rsidP="00490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36E1" w:rsidRPr="00543A2F" w:rsidTr="00490391">
        <w:tc>
          <w:tcPr>
            <w:tcW w:w="9322" w:type="dxa"/>
          </w:tcPr>
          <w:p w:rsidR="00B936E1" w:rsidRPr="00543A2F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A2F">
              <w:rPr>
                <w:rFonts w:ascii="Times New Roman" w:hAnsi="Times New Roman"/>
                <w:color w:val="000000"/>
                <w:sz w:val="28"/>
                <w:szCs w:val="28"/>
              </w:rPr>
              <w:t>1.3 Зарубежный опыт применения конкурентных стратегий в деятельности компаний</w:t>
            </w:r>
          </w:p>
        </w:tc>
        <w:tc>
          <w:tcPr>
            <w:tcW w:w="532" w:type="dxa"/>
          </w:tcPr>
          <w:p w:rsidR="00B936E1" w:rsidRPr="00543A2F" w:rsidRDefault="00B936E1" w:rsidP="00490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36E1" w:rsidRPr="00543A2F" w:rsidTr="00490391">
        <w:tc>
          <w:tcPr>
            <w:tcW w:w="9322" w:type="dxa"/>
          </w:tcPr>
          <w:p w:rsidR="00B936E1" w:rsidRPr="00543A2F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A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АНАЛИЗ КОНКУРЕНТНЫХ СТРАТЕГИЙ И ЭФФЕКТИВНОСТИ ИХ РЕАЛИЗАЦИИ В ДЕЯТЕЛЬНОСТИ </w:t>
            </w:r>
          </w:p>
        </w:tc>
        <w:tc>
          <w:tcPr>
            <w:tcW w:w="532" w:type="dxa"/>
          </w:tcPr>
          <w:p w:rsidR="00B936E1" w:rsidRPr="00543A2F" w:rsidRDefault="00B936E1" w:rsidP="00490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36E1" w:rsidRPr="00543A2F" w:rsidTr="00490391">
        <w:tc>
          <w:tcPr>
            <w:tcW w:w="9322" w:type="dxa"/>
          </w:tcPr>
          <w:p w:rsidR="00B936E1" w:rsidRPr="00543A2F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A2F">
              <w:rPr>
                <w:rFonts w:ascii="Times New Roman" w:hAnsi="Times New Roman"/>
                <w:color w:val="000000"/>
                <w:sz w:val="28"/>
                <w:szCs w:val="28"/>
              </w:rPr>
              <w:t>2.1 Организационно-экономическая характеристика компании</w:t>
            </w:r>
          </w:p>
        </w:tc>
        <w:tc>
          <w:tcPr>
            <w:tcW w:w="532" w:type="dxa"/>
          </w:tcPr>
          <w:p w:rsidR="00B936E1" w:rsidRPr="00543A2F" w:rsidRDefault="00B936E1" w:rsidP="00490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36E1" w:rsidRPr="00543A2F" w:rsidTr="00490391">
        <w:tc>
          <w:tcPr>
            <w:tcW w:w="9322" w:type="dxa"/>
          </w:tcPr>
          <w:p w:rsidR="00B936E1" w:rsidRPr="00543A2F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A2F">
              <w:rPr>
                <w:rFonts w:ascii="Times New Roman" w:hAnsi="Times New Roman"/>
                <w:color w:val="000000"/>
                <w:sz w:val="28"/>
                <w:szCs w:val="28"/>
              </w:rPr>
              <w:t>2.2. Анализ конкурентного положения и конкурентных стратегий компании</w:t>
            </w:r>
          </w:p>
        </w:tc>
        <w:tc>
          <w:tcPr>
            <w:tcW w:w="532" w:type="dxa"/>
          </w:tcPr>
          <w:p w:rsidR="00B936E1" w:rsidRPr="00543A2F" w:rsidRDefault="00B936E1" w:rsidP="00490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36E1" w:rsidRPr="00543A2F" w:rsidTr="00490391">
        <w:tc>
          <w:tcPr>
            <w:tcW w:w="9322" w:type="dxa"/>
          </w:tcPr>
          <w:p w:rsidR="00B936E1" w:rsidRPr="00543A2F" w:rsidRDefault="00B936E1" w:rsidP="00B936E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43A2F">
              <w:rPr>
                <w:rFonts w:ascii="Times New Roman" w:hAnsi="Times New Roman"/>
                <w:color w:val="000000"/>
                <w:sz w:val="28"/>
                <w:szCs w:val="28"/>
              </w:rPr>
              <w:t>2.3 Анализ эффективности  реализации конкурентных стратегий в деятельности компании</w:t>
            </w:r>
          </w:p>
        </w:tc>
        <w:tc>
          <w:tcPr>
            <w:tcW w:w="532" w:type="dxa"/>
          </w:tcPr>
          <w:p w:rsidR="00B936E1" w:rsidRPr="00543A2F" w:rsidRDefault="00B936E1" w:rsidP="00490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36E1" w:rsidRPr="00543A2F" w:rsidTr="00490391">
        <w:tc>
          <w:tcPr>
            <w:tcW w:w="9322" w:type="dxa"/>
          </w:tcPr>
          <w:p w:rsidR="00B936E1" w:rsidRPr="00543A2F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A2F">
              <w:rPr>
                <w:rFonts w:ascii="Times New Roman" w:hAnsi="Times New Roman"/>
                <w:color w:val="000000"/>
                <w:sz w:val="28"/>
                <w:szCs w:val="28"/>
              </w:rPr>
              <w:t>3 СОВЕРШЕНСТВОВАНИЕ КОНКУРЕНТНЫХ СТРАТЕГИЙ В ДЕЯТЕЛЬНОСТИ КОМПАНИИ</w:t>
            </w:r>
          </w:p>
        </w:tc>
        <w:tc>
          <w:tcPr>
            <w:tcW w:w="532" w:type="dxa"/>
          </w:tcPr>
          <w:p w:rsidR="00B936E1" w:rsidRPr="00543A2F" w:rsidRDefault="00B936E1" w:rsidP="00490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36E1" w:rsidRPr="00543A2F" w:rsidTr="00490391">
        <w:tc>
          <w:tcPr>
            <w:tcW w:w="9322" w:type="dxa"/>
          </w:tcPr>
          <w:p w:rsidR="00B936E1" w:rsidRPr="00543A2F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A2F">
              <w:rPr>
                <w:rFonts w:ascii="Times New Roman" w:hAnsi="Times New Roman"/>
                <w:color w:val="000000"/>
                <w:sz w:val="28"/>
                <w:szCs w:val="28"/>
              </w:rPr>
              <w:t>3.1 Направления совершенствования конкурентных стратегий</w:t>
            </w:r>
          </w:p>
        </w:tc>
        <w:tc>
          <w:tcPr>
            <w:tcW w:w="532" w:type="dxa"/>
          </w:tcPr>
          <w:p w:rsidR="00B936E1" w:rsidRPr="00543A2F" w:rsidRDefault="00B936E1" w:rsidP="00490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36E1" w:rsidRPr="00543A2F" w:rsidTr="00490391">
        <w:tc>
          <w:tcPr>
            <w:tcW w:w="9322" w:type="dxa"/>
          </w:tcPr>
          <w:p w:rsidR="00B936E1" w:rsidRPr="00543A2F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A2F">
              <w:rPr>
                <w:rFonts w:ascii="Times New Roman" w:hAnsi="Times New Roman"/>
                <w:color w:val="000000"/>
                <w:sz w:val="28"/>
                <w:szCs w:val="28"/>
              </w:rPr>
              <w:t>3.2 Рекомендации по укреплению конкурентной позиции компании на основе применения конкурентных стратегий</w:t>
            </w:r>
          </w:p>
        </w:tc>
        <w:tc>
          <w:tcPr>
            <w:tcW w:w="532" w:type="dxa"/>
          </w:tcPr>
          <w:p w:rsidR="00B936E1" w:rsidRPr="00543A2F" w:rsidRDefault="00B936E1" w:rsidP="00490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36E1" w:rsidRPr="00543A2F" w:rsidTr="00490391">
        <w:tc>
          <w:tcPr>
            <w:tcW w:w="9322" w:type="dxa"/>
          </w:tcPr>
          <w:p w:rsidR="00B936E1" w:rsidRPr="00543A2F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A2F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532" w:type="dxa"/>
          </w:tcPr>
          <w:p w:rsidR="00B936E1" w:rsidRPr="00543A2F" w:rsidRDefault="00B936E1" w:rsidP="00490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36E1" w:rsidRPr="00543A2F" w:rsidTr="00490391">
        <w:tc>
          <w:tcPr>
            <w:tcW w:w="9322" w:type="dxa"/>
          </w:tcPr>
          <w:p w:rsidR="00B936E1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A2F">
              <w:rPr>
                <w:rFonts w:ascii="Times New Roman" w:hAnsi="Times New Roman"/>
                <w:color w:val="000000"/>
                <w:sz w:val="28"/>
                <w:szCs w:val="28"/>
              </w:rPr>
              <w:t>СПИСОК ИСПОЛЬЗОВАННЫХ ИСТОЧНИКОВ</w:t>
            </w:r>
          </w:p>
          <w:p w:rsidR="00B936E1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36E1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36E1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36E1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36E1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36E1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36E1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36E1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36E1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36E1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36E1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36E1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36E1" w:rsidRDefault="00B936E1" w:rsidP="00B93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36E1" w:rsidRPr="00543A2F" w:rsidRDefault="00B936E1" w:rsidP="00B9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B936E1" w:rsidRPr="00543A2F" w:rsidRDefault="00B936E1" w:rsidP="00490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B1E96" w:rsidRDefault="001B1E96"/>
    <w:p w:rsidR="00B936E1" w:rsidRDefault="00B936E1"/>
    <w:p w:rsidR="00B936E1" w:rsidRDefault="00B936E1"/>
    <w:p w:rsidR="00B936E1" w:rsidRDefault="00B936E1"/>
    <w:p w:rsidR="00B936E1" w:rsidRDefault="00B936E1"/>
    <w:p w:rsidR="00B936E1" w:rsidRPr="00543A2F" w:rsidRDefault="00B936E1" w:rsidP="00B936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3A2F">
        <w:rPr>
          <w:rFonts w:ascii="Times New Roman" w:hAnsi="Times New Roman"/>
          <w:b/>
          <w:color w:val="000000"/>
          <w:sz w:val="28"/>
          <w:szCs w:val="28"/>
        </w:rPr>
        <w:lastRenderedPageBreak/>
        <w:t>ЗАКЛЮЧЕНИЕ</w:t>
      </w:r>
    </w:p>
    <w:p w:rsidR="00B936E1" w:rsidRPr="00543A2F" w:rsidRDefault="00B936E1" w:rsidP="00B936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6E1" w:rsidRPr="00543A2F" w:rsidRDefault="00B936E1" w:rsidP="00B936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A2F">
        <w:rPr>
          <w:rFonts w:ascii="Times New Roman" w:hAnsi="Times New Roman"/>
          <w:color w:val="000000"/>
          <w:sz w:val="28"/>
          <w:szCs w:val="28"/>
        </w:rPr>
        <w:t>Формирование конкурентной стратегии является основой управления в новой экономике и ставит перед собой задачу тщательного анализа стратегического управления.</w:t>
      </w:r>
    </w:p>
    <w:p w:rsidR="00B936E1" w:rsidRPr="00543A2F" w:rsidRDefault="00B936E1" w:rsidP="00B9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Конкурентной стратегии могут быть реализованы посредством внутреннего роста или внешнего роста. Выбор того или иного варианта будет зависеть от различных факторов, таких, как фазы жизненного </w:t>
      </w:r>
      <w:proofErr w:type="gramStart"/>
      <w:r w:rsidRPr="00543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цикла,  насыщенность</w:t>
      </w:r>
      <w:proofErr w:type="gramEnd"/>
      <w:r w:rsidRPr="00543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рынка, уровень конкуренции, необходимость быстрого роста, наличия или отсутствия потенциальных внешних партнеров, уровень ресурсов и возможностей компании.</w:t>
      </w:r>
    </w:p>
    <w:p w:rsidR="00B936E1" w:rsidRPr="00543A2F" w:rsidRDefault="00B936E1" w:rsidP="00B936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Дальнейшее развитие рынка будет находиться в зависимости от поддержки государственными органами интеграционных процессов, организации эффективного управления рисками, совершенствования бизнес-процессов компаний, активного внедрения новых услуг и продуктов.</w:t>
      </w:r>
    </w:p>
    <w:p w:rsidR="00B936E1" w:rsidRDefault="00B936E1"/>
    <w:p w:rsidR="00B936E1" w:rsidRDefault="00B936E1"/>
    <w:p w:rsidR="00B936E1" w:rsidRDefault="00B936E1"/>
    <w:p w:rsidR="00B936E1" w:rsidRDefault="00B936E1"/>
    <w:p w:rsidR="00B936E1" w:rsidRDefault="00B936E1"/>
    <w:p w:rsidR="00B936E1" w:rsidRDefault="00B936E1"/>
    <w:p w:rsidR="00B936E1" w:rsidRDefault="00B936E1"/>
    <w:p w:rsidR="00B936E1" w:rsidRDefault="00B936E1"/>
    <w:p w:rsidR="00B936E1" w:rsidRDefault="00B936E1"/>
    <w:p w:rsidR="00B936E1" w:rsidRDefault="00B936E1"/>
    <w:p w:rsidR="00B936E1" w:rsidRDefault="00B936E1"/>
    <w:p w:rsidR="00B936E1" w:rsidRDefault="00B936E1"/>
    <w:p w:rsidR="00B936E1" w:rsidRDefault="00B936E1"/>
    <w:p w:rsidR="00B936E1" w:rsidRDefault="00B936E1"/>
    <w:p w:rsidR="00B936E1" w:rsidRDefault="00B936E1"/>
    <w:p w:rsidR="00B936E1" w:rsidRDefault="00B936E1"/>
    <w:p w:rsidR="00B936E1" w:rsidRDefault="00B936E1"/>
    <w:p w:rsidR="00B936E1" w:rsidRDefault="00B936E1"/>
    <w:p w:rsidR="00B936E1" w:rsidRDefault="00B936E1"/>
    <w:p w:rsidR="00B936E1" w:rsidRPr="00543A2F" w:rsidRDefault="00B936E1" w:rsidP="00B936E1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43A2F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ИСПОЛЬЗОВАННЫХ ИСТОЧНИКОВ</w:t>
      </w:r>
    </w:p>
    <w:p w:rsidR="00B936E1" w:rsidRPr="00543A2F" w:rsidRDefault="00B936E1" w:rsidP="00B936E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36E1" w:rsidRPr="00543A2F" w:rsidRDefault="00B936E1" w:rsidP="00B936E1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43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Ансофф</w:t>
      </w:r>
      <w:proofErr w:type="spellEnd"/>
      <w:r w:rsidRPr="00543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И. Стратегическое управление / И. </w:t>
      </w:r>
      <w:proofErr w:type="spellStart"/>
      <w:r w:rsidRPr="00543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Ансофф</w:t>
      </w:r>
      <w:proofErr w:type="spellEnd"/>
      <w:r w:rsidRPr="00543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М.: Экономика, 2017. - 519 с.</w:t>
      </w:r>
    </w:p>
    <w:p w:rsidR="00B936E1" w:rsidRPr="00543A2F" w:rsidRDefault="00B936E1" w:rsidP="00B936E1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Архипов, В.М. Виды и факторы, влияющие на формирование стратегии развития предприятия и диагностики компании / В.М. Архипов. - СПб.: СПБГУЭФ, 2017. -  245 с.</w:t>
      </w:r>
    </w:p>
    <w:p w:rsidR="00B936E1" w:rsidRPr="00543A2F" w:rsidRDefault="00B936E1" w:rsidP="00B936E1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43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Аралбаева</w:t>
      </w:r>
      <w:proofErr w:type="spellEnd"/>
      <w:r w:rsidRPr="00543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 Стратегический анализ предприятий. – Алматы: LEM, 2019. – 200 с.</w:t>
      </w:r>
    </w:p>
    <w:p w:rsidR="00B936E1" w:rsidRPr="00543A2F" w:rsidRDefault="00B936E1" w:rsidP="00B936E1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43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Абитова</w:t>
      </w:r>
      <w:proofErr w:type="spellEnd"/>
      <w:r w:rsidRPr="00543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А.К. Стратегический менеджмент. Учебное пособие. - Алматы: </w:t>
      </w:r>
      <w:proofErr w:type="spellStart"/>
      <w:r w:rsidRPr="00543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Ғылым</w:t>
      </w:r>
      <w:proofErr w:type="spellEnd"/>
      <w:r w:rsidRPr="00543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2019. – 181 с.</w:t>
      </w:r>
    </w:p>
    <w:p w:rsidR="00B936E1" w:rsidRPr="00543A2F" w:rsidRDefault="00B936E1" w:rsidP="00B936E1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43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Рахимбаев</w:t>
      </w:r>
      <w:proofErr w:type="spellEnd"/>
      <w:r w:rsidRPr="00543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А.Б Сущность стратегии </w:t>
      </w:r>
      <w:proofErr w:type="gramStart"/>
      <w:r w:rsidRPr="00543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  бизнеса</w:t>
      </w:r>
      <w:proofErr w:type="gramEnd"/>
      <w:r w:rsidRPr="00543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ее диагностика. – Алматы: </w:t>
      </w:r>
      <w:proofErr w:type="spellStart"/>
      <w:r w:rsidRPr="00543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543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2017. –  425 с.</w:t>
      </w:r>
    </w:p>
    <w:p w:rsidR="00B936E1" w:rsidRDefault="00B936E1">
      <w:bookmarkStart w:id="0" w:name="_GoBack"/>
      <w:bookmarkEnd w:id="0"/>
    </w:p>
    <w:sectPr w:rsidR="00B9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661F"/>
    <w:multiLevelType w:val="hybridMultilevel"/>
    <w:tmpl w:val="06F2C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0D"/>
    <w:rsid w:val="001B1E96"/>
    <w:rsid w:val="00620B0D"/>
    <w:rsid w:val="00B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781C"/>
  <w15:chartTrackingRefBased/>
  <w15:docId w15:val="{5C15DC2C-65C2-427C-8DBD-6926408F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2023-01-09T08:19:00Z</dcterms:created>
  <dcterms:modified xsi:type="dcterms:W3CDTF">2023-01-09T08:21:00Z</dcterms:modified>
</cp:coreProperties>
</file>