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AF1" w:rsidRDefault="00417AF1" w:rsidP="00417AF1">
      <w:pPr>
        <w:widowControl w:val="0"/>
        <w:shd w:val="clear" w:color="auto" w:fill="FFFFFF"/>
        <w:jc w:val="center"/>
        <w:rPr>
          <w:b/>
          <w:bCs/>
          <w:sz w:val="28"/>
          <w:szCs w:val="28"/>
        </w:rPr>
      </w:pPr>
      <w:r w:rsidRPr="00417AF1">
        <w:rPr>
          <w:sz w:val="24"/>
        </w:rPr>
        <w:t>Диссер</w:t>
      </w:r>
      <w:r>
        <w:t>_</w:t>
      </w:r>
      <w:r w:rsidRPr="00417AF1">
        <w:rPr>
          <w:b/>
          <w:bCs/>
          <w:sz w:val="28"/>
          <w:szCs w:val="28"/>
        </w:rPr>
        <w:t xml:space="preserve"> </w:t>
      </w:r>
      <w:r w:rsidRPr="009D743E">
        <w:rPr>
          <w:b/>
          <w:bCs/>
          <w:sz w:val="28"/>
          <w:szCs w:val="28"/>
        </w:rPr>
        <w:t xml:space="preserve">Управление процессом мотивирования врачебных кадров </w:t>
      </w:r>
      <w:r w:rsidRPr="009D743E">
        <w:rPr>
          <w:b/>
          <w:bCs/>
          <w:iCs/>
          <w:sz w:val="28"/>
          <w:szCs w:val="28"/>
        </w:rPr>
        <w:t xml:space="preserve">лучевой </w:t>
      </w:r>
      <w:r w:rsidRPr="009D743E">
        <w:rPr>
          <w:b/>
          <w:bCs/>
          <w:sz w:val="28"/>
          <w:szCs w:val="28"/>
        </w:rPr>
        <w:t>диагностики</w:t>
      </w:r>
    </w:p>
    <w:p w:rsidR="00417AF1" w:rsidRDefault="00417AF1" w:rsidP="00417AF1">
      <w:pPr>
        <w:widowControl w:val="0"/>
        <w:shd w:val="clear" w:color="auto" w:fill="FFFFFF"/>
        <w:jc w:val="center"/>
        <w:rPr>
          <w:b/>
          <w:bCs/>
          <w:sz w:val="28"/>
          <w:szCs w:val="28"/>
        </w:rPr>
      </w:pPr>
      <w:r>
        <w:rPr>
          <w:b/>
          <w:bCs/>
          <w:sz w:val="28"/>
          <w:szCs w:val="28"/>
        </w:rPr>
        <w:t>Стр_75</w:t>
      </w:r>
    </w:p>
    <w:p w:rsidR="00417AF1" w:rsidRPr="00417AF1" w:rsidRDefault="00417AF1" w:rsidP="00417AF1">
      <w:pPr>
        <w:widowControl w:val="0"/>
        <w:shd w:val="clear" w:color="auto" w:fill="FFFFFF"/>
        <w:rPr>
          <w:b/>
          <w:bCs/>
          <w:sz w:val="28"/>
          <w:szCs w:val="28"/>
        </w:rPr>
      </w:pPr>
    </w:p>
    <w:p w:rsidR="00417AF1" w:rsidRPr="00417AF1" w:rsidRDefault="00417AF1" w:rsidP="00417AF1">
      <w:pPr>
        <w:rPr>
          <w:sz w:val="28"/>
          <w:szCs w:val="28"/>
        </w:rPr>
      </w:pPr>
      <w:r w:rsidRPr="00417AF1">
        <w:rPr>
          <w:sz w:val="28"/>
          <w:szCs w:val="28"/>
        </w:rPr>
        <w:t>СОДЕРЖАНИЕ</w:t>
      </w:r>
    </w:p>
    <w:p w:rsidR="00417AF1" w:rsidRPr="00417AF1" w:rsidRDefault="00417AF1" w:rsidP="00417AF1">
      <w:pPr>
        <w:rPr>
          <w:sz w:val="28"/>
          <w:szCs w:val="28"/>
        </w:rPr>
      </w:pPr>
      <w:r w:rsidRPr="00417AF1">
        <w:rPr>
          <w:sz w:val="28"/>
          <w:szCs w:val="28"/>
        </w:rPr>
        <w:t>ВВЕДЕНИЕ</w:t>
      </w:r>
      <w:r w:rsidRPr="00417AF1">
        <w:rPr>
          <w:sz w:val="28"/>
          <w:szCs w:val="28"/>
        </w:rPr>
        <w:tab/>
      </w:r>
    </w:p>
    <w:p w:rsidR="00417AF1" w:rsidRPr="00417AF1" w:rsidRDefault="00417AF1" w:rsidP="00417AF1">
      <w:pPr>
        <w:rPr>
          <w:sz w:val="28"/>
          <w:szCs w:val="28"/>
        </w:rPr>
      </w:pPr>
      <w:r w:rsidRPr="00417AF1">
        <w:rPr>
          <w:sz w:val="28"/>
          <w:szCs w:val="28"/>
        </w:rPr>
        <w:t>1 МЕЖДУНАРОДНЫЙ И ОТЕЧЕСТВЕННЫЙ ОПЫТ УПРАВЛЕНИЯ ПРОЦЕССОМ МОТИВАЦИИ ВРАЧЕБНЫХ КАДРОВ</w:t>
      </w:r>
      <w:r w:rsidRPr="00417AF1">
        <w:rPr>
          <w:sz w:val="28"/>
          <w:szCs w:val="28"/>
        </w:rPr>
        <w:tab/>
      </w:r>
    </w:p>
    <w:p w:rsidR="00417AF1" w:rsidRPr="00417AF1" w:rsidRDefault="00417AF1" w:rsidP="00417AF1">
      <w:pPr>
        <w:rPr>
          <w:sz w:val="28"/>
          <w:szCs w:val="28"/>
        </w:rPr>
      </w:pPr>
      <w:r w:rsidRPr="00417AF1">
        <w:rPr>
          <w:sz w:val="28"/>
          <w:szCs w:val="28"/>
        </w:rPr>
        <w:t>1.1 Теоретические аспекты процесса мотивации сотрудников</w:t>
      </w:r>
      <w:r w:rsidRPr="00417AF1">
        <w:rPr>
          <w:sz w:val="28"/>
          <w:szCs w:val="28"/>
        </w:rPr>
        <w:tab/>
      </w:r>
    </w:p>
    <w:p w:rsidR="00417AF1" w:rsidRPr="00417AF1" w:rsidRDefault="00417AF1" w:rsidP="00417AF1">
      <w:pPr>
        <w:rPr>
          <w:sz w:val="28"/>
          <w:szCs w:val="28"/>
        </w:rPr>
      </w:pPr>
      <w:r>
        <w:rPr>
          <w:sz w:val="28"/>
          <w:szCs w:val="28"/>
        </w:rPr>
        <w:t>1.2 Специфика управления</w:t>
      </w:r>
    </w:p>
    <w:p w:rsidR="00417AF1" w:rsidRPr="00417AF1" w:rsidRDefault="00417AF1" w:rsidP="00417AF1">
      <w:pPr>
        <w:rPr>
          <w:sz w:val="28"/>
          <w:szCs w:val="28"/>
        </w:rPr>
      </w:pPr>
      <w:r w:rsidRPr="00417AF1">
        <w:rPr>
          <w:sz w:val="28"/>
          <w:szCs w:val="28"/>
        </w:rPr>
        <w:t xml:space="preserve"> персоналом учреждений здравоохранения</w:t>
      </w:r>
      <w:r w:rsidRPr="00417AF1">
        <w:rPr>
          <w:sz w:val="28"/>
          <w:szCs w:val="28"/>
        </w:rPr>
        <w:tab/>
      </w:r>
    </w:p>
    <w:p w:rsidR="00417AF1" w:rsidRDefault="00417AF1" w:rsidP="00417AF1">
      <w:pPr>
        <w:rPr>
          <w:sz w:val="28"/>
          <w:szCs w:val="28"/>
        </w:rPr>
      </w:pPr>
      <w:r w:rsidRPr="00417AF1">
        <w:rPr>
          <w:sz w:val="28"/>
          <w:szCs w:val="28"/>
        </w:rPr>
        <w:t>1.3 Зарубежный опыт управления процесс</w:t>
      </w:r>
      <w:r>
        <w:rPr>
          <w:sz w:val="28"/>
          <w:szCs w:val="28"/>
        </w:rPr>
        <w:t>ами мотивации зарубежных кадров</w:t>
      </w:r>
    </w:p>
    <w:p w:rsidR="00417AF1" w:rsidRPr="00417AF1" w:rsidRDefault="00417AF1" w:rsidP="00417AF1">
      <w:pPr>
        <w:rPr>
          <w:sz w:val="28"/>
          <w:szCs w:val="28"/>
        </w:rPr>
      </w:pPr>
      <w:r w:rsidRPr="00417AF1">
        <w:rPr>
          <w:sz w:val="28"/>
          <w:szCs w:val="28"/>
        </w:rPr>
        <w:t>2 МЕТОДЫ ИССЛЕДОВАНИЯ</w:t>
      </w:r>
    </w:p>
    <w:p w:rsidR="00417AF1" w:rsidRDefault="00417AF1" w:rsidP="00417AF1">
      <w:pPr>
        <w:rPr>
          <w:sz w:val="28"/>
          <w:szCs w:val="28"/>
        </w:rPr>
      </w:pPr>
      <w:r w:rsidRPr="00417AF1">
        <w:rPr>
          <w:sz w:val="28"/>
          <w:szCs w:val="28"/>
        </w:rPr>
        <w:t xml:space="preserve">3 РЕЗУЛЬТАТЫ ОБЗОРА ТЕКУЩЕГО СОСТОЯНИЯ СИСТЕМЫ УПРАВЛЕНИЯ ЧЕЛОВЕЧЕСКИМИ КАДРАМИ </w:t>
      </w:r>
    </w:p>
    <w:p w:rsidR="00417AF1" w:rsidRPr="00417AF1" w:rsidRDefault="00417AF1" w:rsidP="00417AF1">
      <w:pPr>
        <w:rPr>
          <w:sz w:val="28"/>
          <w:szCs w:val="28"/>
        </w:rPr>
      </w:pPr>
      <w:r w:rsidRPr="00417AF1">
        <w:rPr>
          <w:sz w:val="28"/>
          <w:szCs w:val="28"/>
        </w:rPr>
        <w:t xml:space="preserve">3.1 Анализ условий и текущего состояния системы управления врачебными кадрами </w:t>
      </w:r>
    </w:p>
    <w:p w:rsidR="00417AF1" w:rsidRPr="00417AF1" w:rsidRDefault="00417AF1" w:rsidP="00417AF1">
      <w:pPr>
        <w:rPr>
          <w:sz w:val="28"/>
          <w:szCs w:val="28"/>
        </w:rPr>
      </w:pPr>
      <w:r w:rsidRPr="00417AF1">
        <w:rPr>
          <w:sz w:val="28"/>
          <w:szCs w:val="28"/>
        </w:rPr>
        <w:t>3.2 Обзор особенностей трудовой мотивации врачей и руководителей диагностических центров</w:t>
      </w:r>
      <w:r w:rsidRPr="00417AF1">
        <w:rPr>
          <w:sz w:val="28"/>
          <w:szCs w:val="28"/>
        </w:rPr>
        <w:tab/>
      </w:r>
    </w:p>
    <w:p w:rsidR="00417AF1" w:rsidRPr="00417AF1" w:rsidRDefault="00417AF1" w:rsidP="00417AF1">
      <w:pPr>
        <w:rPr>
          <w:sz w:val="28"/>
          <w:szCs w:val="28"/>
        </w:rPr>
      </w:pPr>
      <w:r w:rsidRPr="00417AF1">
        <w:rPr>
          <w:sz w:val="28"/>
          <w:szCs w:val="28"/>
        </w:rPr>
        <w:t>3.3 Оценка состояния удовлетворенности профессиональной деятельностью врачей отделения лучевой диагностики в многопрофильных больницах</w:t>
      </w:r>
    </w:p>
    <w:p w:rsidR="00417AF1" w:rsidRPr="00417AF1" w:rsidRDefault="00417AF1" w:rsidP="00417AF1">
      <w:pPr>
        <w:rPr>
          <w:sz w:val="28"/>
          <w:szCs w:val="28"/>
        </w:rPr>
      </w:pPr>
      <w:r w:rsidRPr="00417AF1">
        <w:rPr>
          <w:sz w:val="28"/>
          <w:szCs w:val="28"/>
        </w:rPr>
        <w:t>4 РАЗРАБОТКА ПРЕДЛОЖЕНИЙ ПО СОВЕРШЕНСТВОВАНИЮ ПРОЦЕССА МОТИВИРОВАНИЯ ВРАЧЕБНЫХ КАДРОВ В   РЕСПУБЛИКЕ КАЗАХСТАН</w:t>
      </w:r>
      <w:r w:rsidRPr="00417AF1">
        <w:rPr>
          <w:sz w:val="28"/>
          <w:szCs w:val="28"/>
        </w:rPr>
        <w:tab/>
      </w:r>
    </w:p>
    <w:p w:rsidR="00417AF1" w:rsidRPr="00417AF1" w:rsidRDefault="00417AF1" w:rsidP="00417AF1">
      <w:pPr>
        <w:rPr>
          <w:sz w:val="28"/>
          <w:szCs w:val="28"/>
        </w:rPr>
      </w:pPr>
      <w:r w:rsidRPr="00417AF1">
        <w:rPr>
          <w:sz w:val="28"/>
          <w:szCs w:val="28"/>
        </w:rPr>
        <w:t>4.1 Направления совершенствования системы мотивации врачебных кадров и      их влияние на повышение доступности и качества медицинской помощи</w:t>
      </w:r>
    </w:p>
    <w:p w:rsidR="00417AF1" w:rsidRPr="00417AF1" w:rsidRDefault="00417AF1" w:rsidP="00417AF1">
      <w:pPr>
        <w:rPr>
          <w:sz w:val="28"/>
          <w:szCs w:val="28"/>
        </w:rPr>
      </w:pPr>
      <w:r w:rsidRPr="00417AF1">
        <w:rPr>
          <w:sz w:val="28"/>
          <w:szCs w:val="28"/>
        </w:rPr>
        <w:t>4.2 Рекомендации по распространению опыта создания и внедрения    мероприятий по мотивированию врачебных кадров в деятельность        учреждений сферы здравоохранения</w:t>
      </w:r>
    </w:p>
    <w:p w:rsidR="00417AF1" w:rsidRPr="00417AF1" w:rsidRDefault="00417AF1" w:rsidP="00417AF1">
      <w:pPr>
        <w:rPr>
          <w:sz w:val="28"/>
          <w:szCs w:val="28"/>
        </w:rPr>
      </w:pPr>
      <w:r w:rsidRPr="00417AF1">
        <w:rPr>
          <w:sz w:val="28"/>
          <w:szCs w:val="28"/>
        </w:rPr>
        <w:t>ЗАКЛЮЧЕНИЕ</w:t>
      </w:r>
      <w:r w:rsidRPr="00417AF1">
        <w:rPr>
          <w:sz w:val="28"/>
          <w:szCs w:val="28"/>
        </w:rPr>
        <w:tab/>
      </w:r>
    </w:p>
    <w:p w:rsidR="00417AF1" w:rsidRPr="00417AF1" w:rsidRDefault="00417AF1" w:rsidP="00417AF1">
      <w:pPr>
        <w:rPr>
          <w:sz w:val="28"/>
          <w:szCs w:val="28"/>
        </w:rPr>
      </w:pPr>
      <w:r w:rsidRPr="00417AF1">
        <w:rPr>
          <w:sz w:val="28"/>
          <w:szCs w:val="28"/>
        </w:rPr>
        <w:t>СПИСОК ИСПОЛЬЗОВАННОЙ ЛИТЕРАТУРЫ</w:t>
      </w:r>
      <w:r w:rsidRPr="00417AF1">
        <w:rPr>
          <w:sz w:val="28"/>
          <w:szCs w:val="28"/>
        </w:rPr>
        <w:tab/>
      </w:r>
    </w:p>
    <w:p w:rsidR="00417AF1" w:rsidRPr="00417AF1" w:rsidRDefault="00417AF1" w:rsidP="00417AF1">
      <w:pPr>
        <w:rPr>
          <w:sz w:val="28"/>
          <w:szCs w:val="28"/>
        </w:rPr>
      </w:pPr>
    </w:p>
    <w:p w:rsidR="00417AF1" w:rsidRDefault="00417AF1">
      <w:pPr>
        <w:spacing w:after="160" w:line="259" w:lineRule="auto"/>
        <w:rPr>
          <w:sz w:val="28"/>
          <w:szCs w:val="28"/>
        </w:rPr>
      </w:pPr>
      <w:r>
        <w:rPr>
          <w:sz w:val="28"/>
          <w:szCs w:val="28"/>
        </w:rPr>
        <w:br w:type="page"/>
      </w:r>
    </w:p>
    <w:p w:rsidR="00417AF1" w:rsidRPr="00936AA0" w:rsidRDefault="00417AF1" w:rsidP="00417AF1">
      <w:pPr>
        <w:pStyle w:val="1"/>
        <w:spacing w:before="0"/>
        <w:ind w:firstLine="567"/>
        <w:jc w:val="both"/>
        <w:rPr>
          <w:rFonts w:ascii="Times New Roman" w:hAnsi="Times New Roman" w:cs="Times New Roman"/>
          <w:b/>
          <w:caps/>
          <w:color w:val="000000" w:themeColor="text1"/>
          <w:sz w:val="28"/>
          <w:szCs w:val="28"/>
          <w:lang w:eastAsia="en-US"/>
        </w:rPr>
      </w:pPr>
      <w:bookmarkStart w:id="0" w:name="_Toc10205115"/>
      <w:r w:rsidRPr="00936AA0">
        <w:rPr>
          <w:rFonts w:ascii="Times New Roman" w:hAnsi="Times New Roman" w:cs="Times New Roman"/>
          <w:b/>
          <w:caps/>
          <w:color w:val="000000" w:themeColor="text1"/>
          <w:sz w:val="28"/>
          <w:szCs w:val="28"/>
          <w:lang w:eastAsia="en-US"/>
        </w:rPr>
        <w:lastRenderedPageBreak/>
        <w:t>Заключение</w:t>
      </w:r>
      <w:bookmarkEnd w:id="0"/>
    </w:p>
    <w:p w:rsidR="00417AF1" w:rsidRPr="00936AA0" w:rsidRDefault="00417AF1" w:rsidP="00417AF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28"/>
          <w:szCs w:val="28"/>
        </w:rPr>
      </w:pPr>
    </w:p>
    <w:p w:rsidR="00417AF1" w:rsidRDefault="00417AF1" w:rsidP="00417AF1">
      <w:pPr>
        <w:widowControl w:val="0"/>
        <w:shd w:val="clear" w:color="auto" w:fill="FFFFFF"/>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28"/>
          <w:szCs w:val="28"/>
        </w:rPr>
      </w:pPr>
    </w:p>
    <w:p w:rsidR="00417AF1" w:rsidRPr="00CE7791" w:rsidRDefault="00417AF1" w:rsidP="00417AF1">
      <w:pPr>
        <w:widowControl w:val="0"/>
        <w:shd w:val="clear" w:color="auto" w:fill="FFFFFF"/>
        <w:tabs>
          <w:tab w:val="left" w:pos="1134"/>
        </w:tabs>
        <w:ind w:firstLine="567"/>
        <w:jc w:val="both"/>
        <w:rPr>
          <w:color w:val="000000" w:themeColor="text1"/>
          <w:sz w:val="28"/>
          <w:szCs w:val="28"/>
        </w:rPr>
      </w:pPr>
      <w:r w:rsidRPr="00D40596">
        <w:rPr>
          <w:color w:val="000000"/>
          <w:spacing w:val="-3"/>
          <w:sz w:val="28"/>
          <w:szCs w:val="28"/>
        </w:rPr>
        <w:t xml:space="preserve">Проведенное исследование позволило сделать вывод о многоаспектности темы </w:t>
      </w:r>
      <w:r>
        <w:rPr>
          <w:color w:val="000000"/>
          <w:spacing w:val="-3"/>
          <w:sz w:val="28"/>
          <w:szCs w:val="28"/>
        </w:rPr>
        <w:t>диссертации</w:t>
      </w:r>
      <w:r w:rsidRPr="00D40596">
        <w:rPr>
          <w:color w:val="000000"/>
          <w:spacing w:val="-3"/>
          <w:sz w:val="28"/>
          <w:szCs w:val="28"/>
        </w:rPr>
        <w:t xml:space="preserve">. Цель </w:t>
      </w:r>
      <w:r>
        <w:rPr>
          <w:color w:val="000000"/>
          <w:spacing w:val="-3"/>
          <w:sz w:val="28"/>
          <w:szCs w:val="28"/>
        </w:rPr>
        <w:t>диссертации</w:t>
      </w:r>
      <w:r w:rsidRPr="00D40596">
        <w:rPr>
          <w:color w:val="000000"/>
          <w:spacing w:val="-3"/>
          <w:sz w:val="28"/>
          <w:szCs w:val="28"/>
        </w:rPr>
        <w:t xml:space="preserve"> заключалась в </w:t>
      </w:r>
      <w:r w:rsidRPr="00CE7791">
        <w:rPr>
          <w:color w:val="000000" w:themeColor="text1"/>
          <w:sz w:val="28"/>
          <w:szCs w:val="28"/>
        </w:rPr>
        <w:t>выяв</w:t>
      </w:r>
      <w:r>
        <w:rPr>
          <w:color w:val="000000" w:themeColor="text1"/>
          <w:sz w:val="28"/>
          <w:szCs w:val="28"/>
        </w:rPr>
        <w:t>лении</w:t>
      </w:r>
      <w:r w:rsidRPr="00CE7791">
        <w:rPr>
          <w:color w:val="000000" w:themeColor="text1"/>
          <w:sz w:val="28"/>
          <w:szCs w:val="28"/>
        </w:rPr>
        <w:t xml:space="preserve"> недостатк</w:t>
      </w:r>
      <w:r>
        <w:rPr>
          <w:color w:val="000000" w:themeColor="text1"/>
          <w:sz w:val="28"/>
          <w:szCs w:val="28"/>
        </w:rPr>
        <w:t>ов</w:t>
      </w:r>
      <w:r w:rsidRPr="00CE7791">
        <w:rPr>
          <w:color w:val="000000" w:themeColor="text1"/>
          <w:sz w:val="28"/>
          <w:szCs w:val="28"/>
        </w:rPr>
        <w:t xml:space="preserve"> в системе мотивации медицинского персонала в отделении лучевой диагностики и разработ</w:t>
      </w:r>
      <w:r>
        <w:rPr>
          <w:color w:val="000000" w:themeColor="text1"/>
          <w:sz w:val="28"/>
          <w:szCs w:val="28"/>
        </w:rPr>
        <w:t>ке</w:t>
      </w:r>
      <w:r w:rsidRPr="00CE7791">
        <w:rPr>
          <w:color w:val="000000" w:themeColor="text1"/>
          <w:sz w:val="28"/>
          <w:szCs w:val="28"/>
        </w:rPr>
        <w:t xml:space="preserve"> предложени</w:t>
      </w:r>
      <w:r>
        <w:rPr>
          <w:color w:val="000000" w:themeColor="text1"/>
          <w:sz w:val="28"/>
          <w:szCs w:val="28"/>
        </w:rPr>
        <w:t>й</w:t>
      </w:r>
      <w:r w:rsidRPr="00CE7791">
        <w:rPr>
          <w:color w:val="000000" w:themeColor="text1"/>
          <w:sz w:val="28"/>
          <w:szCs w:val="28"/>
        </w:rPr>
        <w:t xml:space="preserve"> по совершенствованию процесса мотивирования врачебных кадров.</w:t>
      </w:r>
    </w:p>
    <w:p w:rsidR="00417AF1" w:rsidRPr="00D40596" w:rsidRDefault="00417AF1" w:rsidP="00417AF1">
      <w:pPr>
        <w:pStyle w:val="a3"/>
        <w:widowControl w:val="0"/>
        <w:tabs>
          <w:tab w:val="left" w:pos="851"/>
          <w:tab w:val="left" w:pos="1134"/>
        </w:tabs>
        <w:spacing w:before="0" w:beforeAutospacing="0" w:after="0" w:afterAutospacing="0"/>
        <w:ind w:firstLine="567"/>
        <w:jc w:val="both"/>
        <w:rPr>
          <w:color w:val="000000"/>
          <w:spacing w:val="-3"/>
          <w:sz w:val="28"/>
          <w:szCs w:val="28"/>
        </w:rPr>
      </w:pPr>
      <w:r w:rsidRPr="00D40596">
        <w:rPr>
          <w:color w:val="000000"/>
          <w:spacing w:val="-3"/>
          <w:sz w:val="28"/>
          <w:szCs w:val="28"/>
        </w:rPr>
        <w:t xml:space="preserve">Для реализации данной цели на первом этапе необходимо было </w:t>
      </w:r>
      <w:r w:rsidRPr="00CE7791">
        <w:rPr>
          <w:color w:val="000000" w:themeColor="text1"/>
          <w:sz w:val="28"/>
          <w:szCs w:val="28"/>
        </w:rPr>
        <w:t>международный и отечественный опыт управления процессом мотивации врачебных кадров</w:t>
      </w:r>
      <w:r w:rsidRPr="00D40596">
        <w:rPr>
          <w:color w:val="000000"/>
          <w:spacing w:val="-3"/>
          <w:sz w:val="28"/>
          <w:szCs w:val="28"/>
        </w:rPr>
        <w:t>.</w:t>
      </w:r>
    </w:p>
    <w:p w:rsidR="00417AF1" w:rsidRPr="00264B4A" w:rsidRDefault="00417AF1" w:rsidP="00417AF1">
      <w:pPr>
        <w:widowControl w:val="0"/>
        <w:shd w:val="clear" w:color="auto" w:fill="FFFFFF"/>
        <w:tabs>
          <w:tab w:val="left" w:pos="916"/>
          <w:tab w:val="left" w:pos="1134"/>
        </w:tabs>
        <w:ind w:firstLine="567"/>
        <w:jc w:val="both"/>
        <w:rPr>
          <w:sz w:val="28"/>
          <w:szCs w:val="28"/>
        </w:rPr>
      </w:pPr>
      <w:r w:rsidRPr="00264B4A">
        <w:rPr>
          <w:color w:val="000000" w:themeColor="text1"/>
          <w:sz w:val="28"/>
          <w:szCs w:val="28"/>
        </w:rPr>
        <w:t xml:space="preserve">Изучение международного и отечественного опыта управления процессом мотивации медицинского персонала показало, что </w:t>
      </w:r>
      <w:r w:rsidRPr="00264B4A">
        <w:rPr>
          <w:sz w:val="28"/>
          <w:szCs w:val="28"/>
        </w:rPr>
        <w:t>структура управления персоналом</w:t>
      </w:r>
      <w:r w:rsidRPr="00264B4A">
        <w:rPr>
          <w:color w:val="000000" w:themeColor="text1"/>
          <w:sz w:val="28"/>
          <w:szCs w:val="28"/>
        </w:rPr>
        <w:t xml:space="preserve">: </w:t>
      </w:r>
      <w:r w:rsidRPr="00264B4A">
        <w:rPr>
          <w:sz w:val="28"/>
          <w:szCs w:val="28"/>
        </w:rPr>
        <w:t>линейно-функциональная. Применение этой структуры управления в организациях здравоохранения обусловлено в первую очередь спецификой работы медицинских учреждений, предполагающей функциональное распределение обязанностей по различным направлениям оказания медицинских услуг: гинекология, неврология, хирургия, травматология, диагностика и т.д. Кроме того, в государственных учреждениях здравоохранения главный врач назначается на должность и освобождается от занимаемой должности начальником управления здравоохранения администрации города.</w:t>
      </w:r>
    </w:p>
    <w:p w:rsidR="00417AF1" w:rsidRDefault="00417AF1">
      <w:pPr>
        <w:spacing w:after="160" w:line="259" w:lineRule="auto"/>
      </w:pPr>
      <w:r>
        <w:br w:type="page"/>
      </w:r>
    </w:p>
    <w:p w:rsidR="00417AF1" w:rsidRPr="00417AF1" w:rsidRDefault="00417AF1" w:rsidP="00417AF1">
      <w:pPr>
        <w:keepNext/>
        <w:keepLines/>
        <w:ind w:firstLine="567"/>
        <w:jc w:val="both"/>
        <w:outlineLvl w:val="0"/>
        <w:rPr>
          <w:rFonts w:eastAsiaTheme="majorEastAsia"/>
          <w:b/>
          <w:caps/>
          <w:color w:val="000000" w:themeColor="text1"/>
          <w:sz w:val="28"/>
          <w:szCs w:val="28"/>
          <w:lang w:eastAsia="en-US"/>
        </w:rPr>
      </w:pPr>
      <w:bookmarkStart w:id="1" w:name="_Toc10205116"/>
      <w:r w:rsidRPr="00417AF1">
        <w:rPr>
          <w:rFonts w:eastAsiaTheme="majorEastAsia"/>
          <w:b/>
          <w:caps/>
          <w:color w:val="000000" w:themeColor="text1"/>
          <w:sz w:val="28"/>
          <w:szCs w:val="28"/>
          <w:lang w:eastAsia="en-US"/>
        </w:rPr>
        <w:lastRenderedPageBreak/>
        <w:t>Список использованной литературы</w:t>
      </w:r>
      <w:bookmarkEnd w:id="1"/>
    </w:p>
    <w:p w:rsidR="00417AF1" w:rsidRDefault="00417AF1" w:rsidP="00417AF1"/>
    <w:p w:rsidR="00417AF1" w:rsidRPr="00936AA0" w:rsidRDefault="00417AF1" w:rsidP="00417AF1">
      <w:pPr>
        <w:pStyle w:val="a5"/>
        <w:widowControl w:val="0"/>
        <w:numPr>
          <w:ilvl w:val="0"/>
          <w:numId w:val="1"/>
        </w:numPr>
        <w:tabs>
          <w:tab w:val="left" w:pos="851"/>
        </w:tabs>
        <w:ind w:left="0" w:firstLine="567"/>
        <w:jc w:val="both"/>
        <w:rPr>
          <w:sz w:val="28"/>
          <w:szCs w:val="28"/>
        </w:rPr>
      </w:pPr>
      <w:r>
        <w:t> </w:t>
      </w:r>
      <w:r w:rsidRPr="00417AF1">
        <w:rPr>
          <w:sz w:val="28"/>
          <w:szCs w:val="28"/>
        </w:rPr>
        <w:t xml:space="preserve"> </w:t>
      </w:r>
      <w:r w:rsidRPr="00936AA0">
        <w:rPr>
          <w:sz w:val="28"/>
          <w:szCs w:val="28"/>
        </w:rPr>
        <w:t>Леонтьев Д.А. Понятие мотива у А.Н. Леонтьева и проблема качества мотивации. // Вестник Московского университета. Серия 14. Психология. - 2016. - №2 - 418 с.;</w:t>
      </w:r>
    </w:p>
    <w:p w:rsidR="00417AF1" w:rsidRPr="00936AA0" w:rsidRDefault="00417AF1" w:rsidP="00417AF1">
      <w:pPr>
        <w:pStyle w:val="a5"/>
        <w:widowControl w:val="0"/>
        <w:numPr>
          <w:ilvl w:val="0"/>
          <w:numId w:val="1"/>
        </w:numPr>
        <w:tabs>
          <w:tab w:val="left" w:pos="851"/>
        </w:tabs>
        <w:ind w:left="0" w:firstLine="567"/>
        <w:jc w:val="both"/>
        <w:rPr>
          <w:sz w:val="28"/>
          <w:szCs w:val="28"/>
        </w:rPr>
      </w:pPr>
      <w:r w:rsidRPr="00936AA0">
        <w:rPr>
          <w:sz w:val="28"/>
          <w:szCs w:val="28"/>
        </w:rPr>
        <w:t xml:space="preserve">Теория мотивации Абрахама </w:t>
      </w:r>
      <w:proofErr w:type="spellStart"/>
      <w:r w:rsidRPr="00936AA0">
        <w:rPr>
          <w:sz w:val="28"/>
          <w:szCs w:val="28"/>
        </w:rPr>
        <w:t>Маслоу</w:t>
      </w:r>
      <w:proofErr w:type="spellEnd"/>
      <w:r w:rsidRPr="00936AA0">
        <w:rPr>
          <w:sz w:val="28"/>
          <w:szCs w:val="28"/>
        </w:rPr>
        <w:t>. Электронный ресурс: https://constructorus.ru/psixologiya/teoriya-motivacii-abraxama-maslou.html;</w:t>
      </w:r>
    </w:p>
    <w:p w:rsidR="00417AF1" w:rsidRPr="00936AA0" w:rsidRDefault="00417AF1" w:rsidP="00417AF1">
      <w:pPr>
        <w:pStyle w:val="a5"/>
        <w:widowControl w:val="0"/>
        <w:numPr>
          <w:ilvl w:val="0"/>
          <w:numId w:val="1"/>
        </w:numPr>
        <w:tabs>
          <w:tab w:val="left" w:pos="851"/>
        </w:tabs>
        <w:ind w:left="0" w:firstLine="567"/>
        <w:jc w:val="both"/>
        <w:rPr>
          <w:sz w:val="28"/>
          <w:szCs w:val="28"/>
        </w:rPr>
      </w:pPr>
      <w:proofErr w:type="spellStart"/>
      <w:r w:rsidRPr="00936AA0">
        <w:rPr>
          <w:sz w:val="28"/>
          <w:szCs w:val="28"/>
        </w:rPr>
        <w:t>Аширов</w:t>
      </w:r>
      <w:proofErr w:type="spellEnd"/>
      <w:r w:rsidRPr="00936AA0">
        <w:rPr>
          <w:sz w:val="28"/>
          <w:szCs w:val="28"/>
        </w:rPr>
        <w:t xml:space="preserve"> Д. А. Управление персоналом. - Алматы, </w:t>
      </w:r>
      <w:r w:rsidRPr="00936AA0">
        <w:rPr>
          <w:rStyle w:val="a7"/>
          <w:sz w:val="28"/>
          <w:szCs w:val="28"/>
        </w:rPr>
        <w:t>2016</w:t>
      </w:r>
      <w:r w:rsidRPr="00936AA0">
        <w:rPr>
          <w:sz w:val="28"/>
          <w:szCs w:val="28"/>
        </w:rPr>
        <w:t>. - 432 c.</w:t>
      </w:r>
    </w:p>
    <w:p w:rsidR="00417AF1" w:rsidRPr="00936AA0" w:rsidRDefault="00417AF1" w:rsidP="00417AF1">
      <w:pPr>
        <w:pStyle w:val="a5"/>
        <w:widowControl w:val="0"/>
        <w:numPr>
          <w:ilvl w:val="0"/>
          <w:numId w:val="1"/>
        </w:numPr>
        <w:tabs>
          <w:tab w:val="left" w:pos="851"/>
        </w:tabs>
        <w:ind w:left="0" w:firstLine="567"/>
        <w:jc w:val="both"/>
        <w:rPr>
          <w:sz w:val="28"/>
          <w:szCs w:val="28"/>
        </w:rPr>
      </w:pPr>
      <w:r w:rsidRPr="00936AA0">
        <w:rPr>
          <w:sz w:val="28"/>
          <w:szCs w:val="28"/>
        </w:rPr>
        <w:t>Шопенгауэр А. Четыре принципа достаточной причины. М,1910. - 520 с.;</w:t>
      </w:r>
    </w:p>
    <w:p w:rsidR="00417AF1" w:rsidRPr="00936AA0" w:rsidRDefault="00417AF1" w:rsidP="00417AF1">
      <w:pPr>
        <w:pStyle w:val="a5"/>
        <w:widowControl w:val="0"/>
        <w:numPr>
          <w:ilvl w:val="0"/>
          <w:numId w:val="1"/>
        </w:numPr>
        <w:tabs>
          <w:tab w:val="left" w:pos="851"/>
        </w:tabs>
        <w:ind w:left="0" w:firstLine="567"/>
        <w:jc w:val="both"/>
        <w:rPr>
          <w:sz w:val="28"/>
          <w:szCs w:val="28"/>
        </w:rPr>
      </w:pPr>
      <w:r w:rsidRPr="00936AA0">
        <w:rPr>
          <w:sz w:val="28"/>
          <w:szCs w:val="28"/>
        </w:rPr>
        <w:t xml:space="preserve">Аванесов Г.А. 10 глав о мотивации и мотивах / Г.А. Аванесов. - М.: </w:t>
      </w:r>
      <w:proofErr w:type="spellStart"/>
      <w:r w:rsidRPr="00936AA0">
        <w:rPr>
          <w:sz w:val="28"/>
          <w:szCs w:val="28"/>
        </w:rPr>
        <w:t>Юнити</w:t>
      </w:r>
      <w:proofErr w:type="spellEnd"/>
      <w:r w:rsidRPr="00936AA0">
        <w:rPr>
          <w:sz w:val="28"/>
          <w:szCs w:val="28"/>
        </w:rPr>
        <w:t xml:space="preserve">-Дана, </w:t>
      </w:r>
      <w:r w:rsidRPr="00936AA0">
        <w:rPr>
          <w:rStyle w:val="a7"/>
          <w:sz w:val="28"/>
          <w:szCs w:val="28"/>
        </w:rPr>
        <w:t>2016</w:t>
      </w:r>
      <w:r w:rsidRPr="00936AA0">
        <w:rPr>
          <w:sz w:val="28"/>
          <w:szCs w:val="28"/>
        </w:rPr>
        <w:t xml:space="preserve">. - </w:t>
      </w:r>
      <w:r w:rsidRPr="00936AA0">
        <w:rPr>
          <w:rStyle w:val="a7"/>
          <w:sz w:val="28"/>
          <w:szCs w:val="28"/>
        </w:rPr>
        <w:t>194</w:t>
      </w:r>
      <w:r w:rsidRPr="00936AA0">
        <w:rPr>
          <w:sz w:val="28"/>
          <w:szCs w:val="28"/>
        </w:rPr>
        <w:t xml:space="preserve"> c.;</w:t>
      </w:r>
    </w:p>
    <w:p w:rsidR="009D1461" w:rsidRDefault="009D1461" w:rsidP="00417AF1">
      <w:bookmarkStart w:id="2" w:name="_GoBack"/>
      <w:bookmarkEnd w:id="2"/>
    </w:p>
    <w:sectPr w:rsidR="009D14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74CED"/>
    <w:multiLevelType w:val="hybridMultilevel"/>
    <w:tmpl w:val="B0AC3118"/>
    <w:lvl w:ilvl="0" w:tplc="D70207BC">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3D"/>
    <w:rsid w:val="00417AF1"/>
    <w:rsid w:val="009D1461"/>
    <w:rsid w:val="00D84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3FDB3"/>
  <w15:chartTrackingRefBased/>
  <w15:docId w15:val="{4AD63B27-5745-44AA-8773-FCC8D9B3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A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17AF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7AF1"/>
    <w:rPr>
      <w:rFonts w:asciiTheme="majorHAnsi" w:eastAsiaTheme="majorEastAsia" w:hAnsiTheme="majorHAnsi" w:cstheme="majorBidi"/>
      <w:color w:val="2E74B5" w:themeColor="accent1" w:themeShade="BF"/>
      <w:sz w:val="32"/>
      <w:szCs w:val="32"/>
      <w:lang w:eastAsia="ru-RU"/>
    </w:rPr>
  </w:style>
  <w:style w:type="paragraph" w:styleId="a3">
    <w:name w:val="Normal (Web)"/>
    <w:aliases w:val="Обычный (веб) Знак1,Обычный (веб) Знак Знак1, Знак Знак1 Знак,Обычный (веб) Знак Знак Знак, Знак Знак Знак Знак, Знак Знак1 Знак Знак,Обычный (веб) Знак Знак Знак Знак, Знак Знак Знак Знак Знак,Знак Знак1 Знак,Знак Знак Знак Знак,Знак4"/>
    <w:basedOn w:val="a"/>
    <w:link w:val="a4"/>
    <w:unhideWhenUsed/>
    <w:rsid w:val="00417AF1"/>
    <w:pPr>
      <w:spacing w:before="100" w:beforeAutospacing="1" w:after="100" w:afterAutospacing="1"/>
    </w:pPr>
    <w:rPr>
      <w:sz w:val="24"/>
      <w:szCs w:val="24"/>
    </w:rPr>
  </w:style>
  <w:style w:type="character" w:customStyle="1" w:styleId="a4">
    <w:name w:val="Обычный (веб) Знак"/>
    <w:aliases w:val="Обычный (веб) Знак1 Знак,Обычный (веб) Знак Знак1 Знак, Знак Знак1 Знак Знак1,Обычный (веб) Знак Знак Знак Знак1, Знак Знак Знак Знак Знак1, Знак Знак1 Знак Знак Знак,Обычный (веб) Знак Знак Знак Знак Знак,Знак Знак1 Знак Знак"/>
    <w:link w:val="a3"/>
    <w:rsid w:val="00417AF1"/>
    <w:rPr>
      <w:rFonts w:ascii="Times New Roman" w:eastAsia="Times New Roman" w:hAnsi="Times New Roman" w:cs="Times New Roman"/>
      <w:sz w:val="24"/>
      <w:szCs w:val="24"/>
      <w:lang w:eastAsia="ru-RU"/>
    </w:rPr>
  </w:style>
  <w:style w:type="paragraph" w:styleId="a5">
    <w:name w:val="List Paragraph"/>
    <w:aliases w:val="маркированный,Абзац списка1"/>
    <w:basedOn w:val="a"/>
    <w:link w:val="a6"/>
    <w:uiPriority w:val="34"/>
    <w:qFormat/>
    <w:rsid w:val="00417AF1"/>
    <w:pPr>
      <w:ind w:left="720"/>
      <w:contextualSpacing/>
    </w:pPr>
  </w:style>
  <w:style w:type="character" w:customStyle="1" w:styleId="a6">
    <w:name w:val="Абзац списка Знак"/>
    <w:aliases w:val="маркированный Знак,Абзац списка1 Знак"/>
    <w:link w:val="a5"/>
    <w:uiPriority w:val="34"/>
    <w:rsid w:val="00417AF1"/>
    <w:rPr>
      <w:rFonts w:ascii="Times New Roman" w:eastAsia="Times New Roman" w:hAnsi="Times New Roman" w:cs="Times New Roman"/>
      <w:sz w:val="20"/>
      <w:szCs w:val="20"/>
      <w:lang w:eastAsia="ru-RU"/>
    </w:rPr>
  </w:style>
  <w:style w:type="character" w:styleId="a7">
    <w:name w:val="Strong"/>
    <w:basedOn w:val="a0"/>
    <w:uiPriority w:val="22"/>
    <w:qFormat/>
    <w:rsid w:val="00417A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2020-01-23T09:55:00Z</dcterms:created>
  <dcterms:modified xsi:type="dcterms:W3CDTF">2020-01-23T10:00:00Z</dcterms:modified>
</cp:coreProperties>
</file>