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3B" w:rsidRDefault="00D9640D" w:rsidP="00D9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0D">
        <w:rPr>
          <w:rFonts w:ascii="Times New Roman" w:hAnsi="Times New Roman" w:cs="Times New Roman"/>
          <w:sz w:val="28"/>
          <w:szCs w:val="28"/>
        </w:rPr>
        <w:t>Диссертация_</w:t>
      </w:r>
      <w:r w:rsidRPr="00D96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40D">
        <w:rPr>
          <w:rFonts w:ascii="Times New Roman" w:hAnsi="Times New Roman" w:cs="Times New Roman"/>
          <w:b/>
          <w:sz w:val="28"/>
          <w:szCs w:val="28"/>
        </w:rPr>
        <w:t>Проблемы международно-правовой защиты жертв современных вооруженных конфликтов</w:t>
      </w:r>
    </w:p>
    <w:p w:rsidR="00D9640D" w:rsidRDefault="00D9640D" w:rsidP="00D9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Стр_81</w:t>
      </w:r>
    </w:p>
    <w:p w:rsidR="00D9640D" w:rsidRPr="000F52AD" w:rsidRDefault="00D9640D" w:rsidP="00D9640D">
      <w:pPr>
        <w:pStyle w:val="1"/>
        <w:spacing w:before="0" w:line="240" w:lineRule="auto"/>
        <w:ind w:left="2831"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92968089"/>
      <w:bookmarkStart w:id="1" w:name="_Toc103933158"/>
      <w:r w:rsidRPr="000F52A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</w:t>
      </w:r>
      <w:bookmarkEnd w:id="0"/>
      <w:bookmarkEnd w:id="1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849"/>
        <w:gridCol w:w="644"/>
      </w:tblGrid>
      <w:tr w:rsidR="00D9640D" w:rsidRPr="000F52AD" w:rsidTr="00D9640D">
        <w:tc>
          <w:tcPr>
            <w:tcW w:w="8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МЕЖДУНАРОДНО-ПРАВОВОЕ РЕГУЛИРОВАНИЕ ВООРУЖЕННЫХ КОНФЛИКТОВ В ЗАВИСИМОСТИ ОТ ИХ ХАРАКТЕРА</w:t>
            </w: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1.1 Проблемы классификации вооруженных конфликтов в международном гуманитарном праве</w:t>
            </w: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1.2 Особенности международно-правовых норм, регламентирующих защиту жертв вооруженных конфликтов</w:t>
            </w: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1.3 Основные принципы регулирования современного вооруженного конфликта</w:t>
            </w: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ПРАВОВОЕ РЕГУЛИРОВАНИЕ ИНСТИТУТА ЗАЩИТЫ ЖЕРТВ ВООРУЖЕННОГО КОНФЛИКТА В СОВРЕМЕННОМ МЕЖДУНАРОДНОМ ПРАВЕ</w:t>
            </w: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2.1 Правовая природа понятия «жертвы вооруженных конфликтов» и их классификация</w:t>
            </w: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2.2 Правовое положение жертв вооруженного конфликта (по международному и национальному законодательству Республики Казахстан) </w:t>
            </w: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РОЛЬ СУБЪЕКТОВ МЕЖДУНАРОДНОГО ПРАВА В РЕАЛИЗАЦИИ НОРМ ПО ЗАЩИТЕ ЖЕРТВ СОВРЕМЕННЫХ ВООРУЖЕННЫХ КОНФЛИКТОВ</w:t>
            </w: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3.1 Проблемы имплементации норм международного гуманитарного права по защите жертв вооруженных конфликтов в национальное законодательство государств</w:t>
            </w: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3.2 Защита жертв вооруженных конфликтов в компетенции международных организаций и международных судов</w:t>
            </w: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3.3 Ответственность за нарушение норм и принципов международного права, касающихся защиты жертв современных вооруженных конфликтов</w:t>
            </w: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40D" w:rsidRDefault="00D9640D" w:rsidP="00911F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ИСПОЛЬЗОВАННЫХ ИСТОЧНИКОВ</w:t>
            </w:r>
          </w:p>
          <w:p w:rsidR="00D9640D" w:rsidRDefault="00D9640D" w:rsidP="00911F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40D" w:rsidRDefault="00D9640D" w:rsidP="00911F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40D" w:rsidRPr="000F52AD" w:rsidRDefault="00D9640D" w:rsidP="00911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640D" w:rsidRPr="000F52AD" w:rsidRDefault="00D9640D" w:rsidP="00D9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40D" w:rsidRPr="000F52AD" w:rsidRDefault="00D9640D" w:rsidP="00D9640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03933173"/>
      <w:r w:rsidRPr="000F52AD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  <w:bookmarkEnd w:id="2"/>
    </w:p>
    <w:p w:rsidR="00D9640D" w:rsidRPr="000F52AD" w:rsidRDefault="00D9640D" w:rsidP="00D964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640D" w:rsidRPr="000F52AD" w:rsidRDefault="00D9640D" w:rsidP="00D9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AD">
        <w:rPr>
          <w:rFonts w:ascii="Times New Roman" w:hAnsi="Times New Roman" w:cs="Times New Roman"/>
          <w:sz w:val="28"/>
          <w:szCs w:val="28"/>
        </w:rPr>
        <w:t xml:space="preserve">Вооруженные конфликты – это как фактическое положение, так и вопрос права. Определение и квалификация такого типа конфликтов важны, поскольку они позволяют применять нормы международного права, предусмотренные в отношении международных вооруженных конфликтов. Вооруженный конфликт, который на оккупированной территории (территориях) противостоит оккупирующей державе и негосударственной вооруженной группе, даже если он имеет черты террористической группы, представляет собой международный вооруженный конфликт. </w:t>
      </w:r>
    </w:p>
    <w:p w:rsidR="00D9640D" w:rsidRPr="000F52AD" w:rsidRDefault="00D9640D" w:rsidP="00D9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AD">
        <w:rPr>
          <w:rFonts w:ascii="Times New Roman" w:hAnsi="Times New Roman" w:cs="Times New Roman"/>
          <w:sz w:val="28"/>
          <w:szCs w:val="28"/>
        </w:rPr>
        <w:t>Наличие международного вооруженного конфликта не требует каких-либо требований относительно интенсивности столкновений, в отличие от того, что налагается в случае внутренних вооруженных конфликтов. Различие международных и немеждународных вооруженных конфликтов можно объяснить ссылкой на историю развития международного права в целом и международного гуманитарного права в частности.</w:t>
      </w:r>
    </w:p>
    <w:p w:rsidR="00D9640D" w:rsidRDefault="00D9640D" w:rsidP="00D9640D">
      <w:pPr>
        <w:rPr>
          <w:rFonts w:ascii="Times New Roman" w:hAnsi="Times New Roman" w:cs="Times New Roman"/>
          <w:sz w:val="28"/>
          <w:szCs w:val="28"/>
        </w:rPr>
      </w:pPr>
    </w:p>
    <w:p w:rsidR="00D9640D" w:rsidRDefault="00D9640D" w:rsidP="00D9640D">
      <w:pPr>
        <w:rPr>
          <w:rFonts w:ascii="Times New Roman" w:hAnsi="Times New Roman" w:cs="Times New Roman"/>
          <w:sz w:val="28"/>
          <w:szCs w:val="28"/>
        </w:rPr>
      </w:pPr>
    </w:p>
    <w:p w:rsidR="00D9640D" w:rsidRDefault="00D9640D" w:rsidP="00D9640D">
      <w:pPr>
        <w:rPr>
          <w:rFonts w:ascii="Times New Roman" w:hAnsi="Times New Roman" w:cs="Times New Roman"/>
          <w:sz w:val="28"/>
          <w:szCs w:val="28"/>
        </w:rPr>
      </w:pPr>
    </w:p>
    <w:p w:rsidR="00D9640D" w:rsidRDefault="00D9640D" w:rsidP="00D9640D">
      <w:pPr>
        <w:rPr>
          <w:rFonts w:ascii="Times New Roman" w:hAnsi="Times New Roman" w:cs="Times New Roman"/>
          <w:sz w:val="28"/>
          <w:szCs w:val="28"/>
        </w:rPr>
      </w:pPr>
    </w:p>
    <w:p w:rsidR="00D9640D" w:rsidRDefault="00D9640D" w:rsidP="00D9640D">
      <w:pPr>
        <w:rPr>
          <w:rFonts w:ascii="Times New Roman" w:hAnsi="Times New Roman" w:cs="Times New Roman"/>
          <w:sz w:val="28"/>
          <w:szCs w:val="28"/>
        </w:rPr>
      </w:pPr>
    </w:p>
    <w:p w:rsidR="00D9640D" w:rsidRDefault="00D9640D" w:rsidP="00D9640D">
      <w:pPr>
        <w:rPr>
          <w:rFonts w:ascii="Times New Roman" w:hAnsi="Times New Roman" w:cs="Times New Roman"/>
          <w:sz w:val="28"/>
          <w:szCs w:val="28"/>
        </w:rPr>
      </w:pPr>
    </w:p>
    <w:p w:rsidR="00D9640D" w:rsidRDefault="00D9640D" w:rsidP="00D9640D">
      <w:pPr>
        <w:rPr>
          <w:rFonts w:ascii="Times New Roman" w:hAnsi="Times New Roman" w:cs="Times New Roman"/>
          <w:sz w:val="28"/>
          <w:szCs w:val="28"/>
        </w:rPr>
      </w:pPr>
    </w:p>
    <w:p w:rsidR="00D9640D" w:rsidRDefault="00D9640D" w:rsidP="00D9640D">
      <w:pPr>
        <w:rPr>
          <w:rFonts w:ascii="Times New Roman" w:hAnsi="Times New Roman" w:cs="Times New Roman"/>
          <w:sz w:val="28"/>
          <w:szCs w:val="28"/>
        </w:rPr>
      </w:pPr>
    </w:p>
    <w:p w:rsidR="00D9640D" w:rsidRDefault="00D9640D" w:rsidP="00D9640D">
      <w:pPr>
        <w:rPr>
          <w:rFonts w:ascii="Times New Roman" w:hAnsi="Times New Roman" w:cs="Times New Roman"/>
          <w:sz w:val="28"/>
          <w:szCs w:val="28"/>
        </w:rPr>
      </w:pPr>
    </w:p>
    <w:p w:rsidR="00D9640D" w:rsidRDefault="00D9640D" w:rsidP="00D9640D">
      <w:pPr>
        <w:rPr>
          <w:rFonts w:ascii="Times New Roman" w:hAnsi="Times New Roman" w:cs="Times New Roman"/>
          <w:sz w:val="28"/>
          <w:szCs w:val="28"/>
        </w:rPr>
      </w:pPr>
    </w:p>
    <w:p w:rsidR="00D9640D" w:rsidRDefault="00D9640D" w:rsidP="00D9640D">
      <w:pPr>
        <w:rPr>
          <w:rFonts w:ascii="Times New Roman" w:hAnsi="Times New Roman" w:cs="Times New Roman"/>
          <w:sz w:val="28"/>
          <w:szCs w:val="28"/>
        </w:rPr>
      </w:pPr>
    </w:p>
    <w:p w:rsidR="00D9640D" w:rsidRDefault="00D9640D" w:rsidP="00D9640D">
      <w:pPr>
        <w:rPr>
          <w:rFonts w:ascii="Times New Roman" w:hAnsi="Times New Roman" w:cs="Times New Roman"/>
          <w:sz w:val="28"/>
          <w:szCs w:val="28"/>
        </w:rPr>
      </w:pPr>
    </w:p>
    <w:p w:rsidR="00D9640D" w:rsidRDefault="00D9640D" w:rsidP="00D9640D">
      <w:pPr>
        <w:rPr>
          <w:rFonts w:ascii="Times New Roman" w:hAnsi="Times New Roman" w:cs="Times New Roman"/>
          <w:sz w:val="28"/>
          <w:szCs w:val="28"/>
        </w:rPr>
      </w:pPr>
    </w:p>
    <w:p w:rsidR="00D9640D" w:rsidRDefault="00D9640D" w:rsidP="00D9640D">
      <w:pPr>
        <w:rPr>
          <w:rFonts w:ascii="Times New Roman" w:hAnsi="Times New Roman" w:cs="Times New Roman"/>
          <w:sz w:val="28"/>
          <w:szCs w:val="28"/>
        </w:rPr>
      </w:pPr>
    </w:p>
    <w:p w:rsidR="00D9640D" w:rsidRDefault="00D9640D" w:rsidP="00D9640D">
      <w:pPr>
        <w:rPr>
          <w:rFonts w:ascii="Times New Roman" w:hAnsi="Times New Roman" w:cs="Times New Roman"/>
          <w:sz w:val="28"/>
          <w:szCs w:val="28"/>
        </w:rPr>
      </w:pPr>
    </w:p>
    <w:p w:rsidR="00D9640D" w:rsidRDefault="00D9640D" w:rsidP="00D9640D">
      <w:pPr>
        <w:rPr>
          <w:rFonts w:ascii="Times New Roman" w:hAnsi="Times New Roman" w:cs="Times New Roman"/>
          <w:sz w:val="28"/>
          <w:szCs w:val="28"/>
        </w:rPr>
      </w:pPr>
    </w:p>
    <w:p w:rsidR="00D9640D" w:rsidRDefault="00D9640D" w:rsidP="00D9640D">
      <w:pPr>
        <w:rPr>
          <w:rFonts w:ascii="Times New Roman" w:hAnsi="Times New Roman" w:cs="Times New Roman"/>
          <w:sz w:val="28"/>
          <w:szCs w:val="28"/>
        </w:rPr>
      </w:pPr>
    </w:p>
    <w:p w:rsidR="00D9640D" w:rsidRPr="000F52AD" w:rsidRDefault="00D9640D" w:rsidP="00D9640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03933174"/>
      <w:r w:rsidRPr="000F52A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ИСПОЛЬЗОВАННЫХ ИСТОЧНИКОВ</w:t>
      </w:r>
      <w:bookmarkEnd w:id="3"/>
    </w:p>
    <w:p w:rsidR="00D9640D" w:rsidRPr="000F52AD" w:rsidRDefault="00D9640D" w:rsidP="00D964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640D" w:rsidRPr="000F52AD" w:rsidRDefault="00D9640D" w:rsidP="00D9640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2AD">
        <w:rPr>
          <w:rFonts w:ascii="Times New Roman" w:hAnsi="Times New Roman" w:cs="Times New Roman"/>
          <w:sz w:val="28"/>
          <w:szCs w:val="28"/>
        </w:rPr>
        <w:t xml:space="preserve">Устав ООН (полный текст)  // </w:t>
      </w:r>
      <w:hyperlink r:id="rId5" w:history="1">
        <w:r w:rsidRPr="000F52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https://www.un.org/ru/about-us/un-charter/full-text</w:t>
        </w:r>
      </w:hyperlink>
      <w:r w:rsidRPr="000F52AD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(дата обращения 21.02.2022)</w:t>
      </w:r>
    </w:p>
    <w:p w:rsidR="00D9640D" w:rsidRPr="000F52AD" w:rsidRDefault="00D9640D" w:rsidP="00D9640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2AD">
        <w:rPr>
          <w:rFonts w:ascii="Times New Roman" w:hAnsi="Times New Roman" w:cs="Times New Roman"/>
          <w:sz w:val="28"/>
          <w:szCs w:val="28"/>
          <w:lang w:val="en-US"/>
        </w:rPr>
        <w:t xml:space="preserve">Bartels R. Timelines, borderlines and conflicts. The historical evolution of the legal divide between international and non-international armed conflicts // Revue </w:t>
      </w:r>
      <w:proofErr w:type="spellStart"/>
      <w:r w:rsidRPr="000F52AD">
        <w:rPr>
          <w:rFonts w:ascii="Times New Roman" w:hAnsi="Times New Roman" w:cs="Times New Roman"/>
          <w:sz w:val="28"/>
          <w:szCs w:val="28"/>
          <w:lang w:val="en-US"/>
        </w:rPr>
        <w:t>internationale</w:t>
      </w:r>
      <w:proofErr w:type="spellEnd"/>
      <w:r w:rsidRPr="000F52AD">
        <w:rPr>
          <w:rFonts w:ascii="Times New Roman" w:hAnsi="Times New Roman" w:cs="Times New Roman"/>
          <w:sz w:val="28"/>
          <w:szCs w:val="28"/>
          <w:lang w:val="en-US"/>
        </w:rPr>
        <w:t xml:space="preserve"> de la Croix-Rouge. - № 873. – 2009. – P. 35-67.</w:t>
      </w:r>
    </w:p>
    <w:p w:rsidR="00D9640D" w:rsidRPr="000F52AD" w:rsidRDefault="00D9640D" w:rsidP="00D9640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F52AD">
        <w:rPr>
          <w:rFonts w:ascii="Times New Roman" w:hAnsi="Times New Roman" w:cs="Times New Roman"/>
          <w:sz w:val="28"/>
          <w:szCs w:val="28"/>
          <w:lang w:val="en-US"/>
        </w:rPr>
        <w:t>Carswell</w:t>
      </w:r>
      <w:proofErr w:type="spellEnd"/>
      <w:r w:rsidRPr="000F52AD">
        <w:rPr>
          <w:rFonts w:ascii="Times New Roman" w:hAnsi="Times New Roman" w:cs="Times New Roman"/>
          <w:sz w:val="28"/>
          <w:szCs w:val="28"/>
          <w:lang w:val="en-US"/>
        </w:rPr>
        <w:t xml:space="preserve"> A. J. Classifying the conflict: a soldier’s dilemma // Revue </w:t>
      </w:r>
      <w:proofErr w:type="spellStart"/>
      <w:r w:rsidRPr="000F52AD">
        <w:rPr>
          <w:rFonts w:ascii="Times New Roman" w:hAnsi="Times New Roman" w:cs="Times New Roman"/>
          <w:sz w:val="28"/>
          <w:szCs w:val="28"/>
          <w:lang w:val="en-US"/>
        </w:rPr>
        <w:t>internationale</w:t>
      </w:r>
      <w:proofErr w:type="spellEnd"/>
      <w:r w:rsidRPr="000F52AD">
        <w:rPr>
          <w:rFonts w:ascii="Times New Roman" w:hAnsi="Times New Roman" w:cs="Times New Roman"/>
          <w:sz w:val="28"/>
          <w:szCs w:val="28"/>
          <w:lang w:val="en-US"/>
        </w:rPr>
        <w:t xml:space="preserve"> de la Croix-Rouge. - № 873. – 2009. - P. 143-161.</w:t>
      </w:r>
    </w:p>
    <w:p w:rsidR="00D9640D" w:rsidRPr="000F52AD" w:rsidRDefault="00D9640D" w:rsidP="00D9640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2AD">
        <w:rPr>
          <w:rFonts w:ascii="Times New Roman" w:hAnsi="Times New Roman" w:cs="Times New Roman"/>
          <w:sz w:val="28"/>
          <w:szCs w:val="28"/>
        </w:rPr>
        <w:t xml:space="preserve">Женевские конвенции и протоколы к ним // </w:t>
      </w:r>
      <w:hyperlink r:id="rId6" w:history="1">
        <w:r w:rsidRPr="000F52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0F52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0F52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F52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F52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un</w:t>
        </w:r>
        <w:r w:rsidRPr="000F52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F52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Pr="000F52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0F52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0F52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0F52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humanitarian</w:t>
        </w:r>
        <w:r w:rsidRPr="000F52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0F52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law</w:t>
        </w:r>
        <w:r w:rsidRPr="000F52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0F52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geneva</w:t>
        </w:r>
        <w:proofErr w:type="spellEnd"/>
        <w:r w:rsidRPr="000F52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F52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shtml</w:t>
        </w:r>
        <w:proofErr w:type="spellEnd"/>
      </w:hyperlink>
      <w:r w:rsidRPr="000F52AD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(дата обращения 25.02.2022)</w:t>
      </w:r>
    </w:p>
    <w:p w:rsidR="00D9640D" w:rsidRPr="000F52AD" w:rsidRDefault="00D9640D" w:rsidP="00D9640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2AD">
        <w:rPr>
          <w:rFonts w:ascii="Times New Roman" w:hAnsi="Times New Roman" w:cs="Times New Roman"/>
          <w:sz w:val="28"/>
          <w:szCs w:val="28"/>
          <w:lang w:val="en-US"/>
        </w:rPr>
        <w:t xml:space="preserve">Crawford E. Unequal before the law: the case for the elimination of the distinction between international and non-international armed conflict // Leiden Journal of International Law.  </w:t>
      </w:r>
      <w:r w:rsidRPr="000F52AD">
        <w:rPr>
          <w:rFonts w:ascii="Times New Roman" w:hAnsi="Times New Roman" w:cs="Times New Roman"/>
          <w:sz w:val="28"/>
          <w:szCs w:val="28"/>
        </w:rPr>
        <w:t xml:space="preserve">- </w:t>
      </w:r>
      <w:r w:rsidRPr="000F52AD">
        <w:rPr>
          <w:rFonts w:ascii="Times New Roman" w:hAnsi="Times New Roman" w:cs="Times New Roman"/>
          <w:sz w:val="28"/>
          <w:szCs w:val="28"/>
          <w:lang w:val="en-US"/>
        </w:rPr>
        <w:t>№ 2</w:t>
      </w:r>
      <w:r w:rsidRPr="000F52AD">
        <w:rPr>
          <w:rFonts w:ascii="Times New Roman" w:hAnsi="Times New Roman" w:cs="Times New Roman"/>
          <w:sz w:val="28"/>
          <w:szCs w:val="28"/>
        </w:rPr>
        <w:t>. -</w:t>
      </w:r>
      <w:r w:rsidRPr="000F52AD">
        <w:rPr>
          <w:rFonts w:ascii="Times New Roman" w:hAnsi="Times New Roman" w:cs="Times New Roman"/>
          <w:sz w:val="28"/>
          <w:szCs w:val="28"/>
          <w:lang w:val="en-US"/>
        </w:rPr>
        <w:t xml:space="preserve"> 2007.</w:t>
      </w:r>
      <w:r w:rsidRPr="000F52AD">
        <w:rPr>
          <w:rFonts w:ascii="Times New Roman" w:hAnsi="Times New Roman" w:cs="Times New Roman"/>
          <w:sz w:val="28"/>
          <w:szCs w:val="28"/>
        </w:rPr>
        <w:t xml:space="preserve"> – Р.63-67.</w:t>
      </w:r>
    </w:p>
    <w:p w:rsidR="00D9640D" w:rsidRPr="00D9640D" w:rsidRDefault="00D9640D" w:rsidP="00D9640D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D9640D" w:rsidRPr="00D9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543F"/>
    <w:multiLevelType w:val="hybridMultilevel"/>
    <w:tmpl w:val="F33A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89"/>
    <w:rsid w:val="008C523B"/>
    <w:rsid w:val="00D9640D"/>
    <w:rsid w:val="00F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5630"/>
  <w15:chartTrackingRefBased/>
  <w15:docId w15:val="{F02C21F3-D302-4438-B5D5-1A1EEB96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6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4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D9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40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ru/humanitarian/law/geneva.shtml" TargetMode="External"/><Relationship Id="rId5" Type="http://schemas.openxmlformats.org/officeDocument/2006/relationships/hyperlink" Target="https://www.un.org/ru/about-us/un-charter/full-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2023-01-09T08:24:00Z</dcterms:created>
  <dcterms:modified xsi:type="dcterms:W3CDTF">2023-01-09T08:27:00Z</dcterms:modified>
</cp:coreProperties>
</file>