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1" w:rsidRDefault="00243EA1" w:rsidP="00243EA1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243EA1">
        <w:rPr>
          <w:rFonts w:ascii="Times New Roman" w:hAnsi="Times New Roman"/>
        </w:rPr>
        <w:t>Диссер</w:t>
      </w:r>
      <w:proofErr w:type="spellEnd"/>
      <w:r w:rsidRPr="00243EA1">
        <w:rPr>
          <w:rFonts w:ascii="Times New Roman" w:hAnsi="Times New Roman"/>
        </w:rPr>
        <w:t>_</w:t>
      </w:r>
      <w:r w:rsidRPr="00243EA1">
        <w:rPr>
          <w:rFonts w:ascii="Times New Roman" w:hAnsi="Times New Roman"/>
          <w:b/>
          <w:szCs w:val="28"/>
        </w:rPr>
        <w:t xml:space="preserve"> </w:t>
      </w:r>
      <w:r w:rsidRPr="00243EA1">
        <w:rPr>
          <w:rFonts w:ascii="Times New Roman" w:hAnsi="Times New Roman"/>
          <w:b/>
          <w:szCs w:val="28"/>
        </w:rPr>
        <w:t>Развитие розничных банковских услуг в условиях инновационной экономики</w:t>
      </w:r>
    </w:p>
    <w:p w:rsidR="00243EA1" w:rsidRDefault="00243EA1" w:rsidP="00243EA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Стр_70</w:t>
      </w:r>
    </w:p>
    <w:p w:rsidR="00243EA1" w:rsidRPr="00632062" w:rsidRDefault="00243EA1" w:rsidP="00243EA1">
      <w:pPr>
        <w:rPr>
          <w:rFonts w:ascii="Times New Roman" w:hAnsi="Times New Roman"/>
          <w:szCs w:val="28"/>
        </w:rPr>
      </w:pPr>
    </w:p>
    <w:p w:rsidR="00243EA1" w:rsidRDefault="00243EA1" w:rsidP="00243EA1">
      <w:pPr>
        <w:jc w:val="center"/>
        <w:rPr>
          <w:rFonts w:ascii="Times New Roman" w:hAnsi="Times New Roman"/>
          <w:b/>
          <w:szCs w:val="28"/>
        </w:rPr>
      </w:pPr>
      <w:r w:rsidRPr="00904D1B">
        <w:rPr>
          <w:rFonts w:ascii="Times New Roman" w:hAnsi="Times New Roman"/>
          <w:b/>
          <w:szCs w:val="28"/>
        </w:rPr>
        <w:t>СОДЕРЖАНИЕ</w:t>
      </w:r>
    </w:p>
    <w:p w:rsidR="00243EA1" w:rsidRPr="00904D1B" w:rsidRDefault="00243EA1" w:rsidP="00243EA1">
      <w:pPr>
        <w:tabs>
          <w:tab w:val="right" w:pos="9638"/>
        </w:tabs>
        <w:rPr>
          <w:rFonts w:ascii="Times New Roman" w:hAnsi="Times New Roman"/>
          <w:b/>
          <w:szCs w:val="28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675"/>
        <w:gridCol w:w="8789"/>
        <w:gridCol w:w="636"/>
      </w:tblGrid>
      <w:tr w:rsidR="00243EA1" w:rsidRPr="00904D1B" w:rsidTr="000501F6">
        <w:trPr>
          <w:trHeight w:val="361"/>
        </w:trPr>
        <w:tc>
          <w:tcPr>
            <w:tcW w:w="9464" w:type="dxa"/>
            <w:gridSpan w:val="2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ОБОЗНАЧЕНИЯ И СОКРАЩЕНИЯ</w:t>
            </w:r>
          </w:p>
        </w:tc>
        <w:tc>
          <w:tcPr>
            <w:tcW w:w="636" w:type="dxa"/>
            <w:shd w:val="clear" w:color="auto" w:fill="auto"/>
          </w:tcPr>
          <w:p w:rsidR="00243EA1" w:rsidRPr="00DE5935" w:rsidRDefault="00243EA1" w:rsidP="000501F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43EA1" w:rsidRPr="0084418F" w:rsidRDefault="00243EA1" w:rsidP="000501F6">
            <w:pPr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  <w:tr w:rsidR="00243EA1" w:rsidRPr="00904D1B" w:rsidTr="000501F6">
        <w:trPr>
          <w:gridAfter w:val="1"/>
          <w:wAfter w:w="636" w:type="dxa"/>
          <w:trHeight w:val="361"/>
        </w:trPr>
        <w:tc>
          <w:tcPr>
            <w:tcW w:w="9464" w:type="dxa"/>
            <w:gridSpan w:val="2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>ВВЕДЕНИЕ</w:t>
            </w:r>
          </w:p>
        </w:tc>
      </w:tr>
      <w:tr w:rsidR="00243EA1" w:rsidRPr="00904D1B" w:rsidTr="000501F6">
        <w:trPr>
          <w:gridAfter w:val="1"/>
          <w:wAfter w:w="636" w:type="dxa"/>
          <w:trHeight w:val="823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caps/>
                <w:szCs w:val="28"/>
              </w:rPr>
              <w:t>ТЕОРЕТИЧЕСКИЕ АСПЕКТЫ розничных банковских услуг</w:t>
            </w:r>
            <w:r w:rsidRPr="00904D1B">
              <w:rPr>
                <w:rFonts w:ascii="Times New Roman" w:hAnsi="Times New Roman"/>
                <w:b/>
                <w:szCs w:val="28"/>
              </w:rPr>
              <w:t xml:space="preserve"> В УСЛОВИЯХ </w:t>
            </w:r>
            <w:r w:rsidRPr="00904D1B">
              <w:rPr>
                <w:rFonts w:ascii="Times New Roman" w:hAnsi="Times New Roman"/>
                <w:b/>
                <w:caps/>
                <w:szCs w:val="28"/>
              </w:rPr>
              <w:t>инновационной экономики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243EA1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szCs w:val="28"/>
              </w:rPr>
            </w:pPr>
            <w:r w:rsidRPr="00904D1B">
              <w:rPr>
                <w:rFonts w:ascii="Times New Roman" w:hAnsi="Times New Roman"/>
                <w:szCs w:val="28"/>
              </w:rPr>
              <w:t>Основы формирования розничного рынка банковских услуг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szCs w:val="28"/>
              </w:rPr>
            </w:pPr>
            <w:r w:rsidRPr="00904D1B">
              <w:rPr>
                <w:rFonts w:ascii="Times New Roman" w:hAnsi="Times New Roman"/>
              </w:rPr>
              <w:t xml:space="preserve">1.2 Исследование содержания </w:t>
            </w:r>
            <w:r w:rsidRPr="00904D1B">
              <w:rPr>
                <w:rFonts w:ascii="inherit" w:hAnsi="inherit" w:cs="Courier New"/>
                <w:szCs w:val="28"/>
              </w:rPr>
              <w:t>инноваций в банковском бизнесе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szCs w:val="28"/>
              </w:rPr>
            </w:pPr>
            <w:r w:rsidRPr="00904D1B">
              <w:rPr>
                <w:rFonts w:ascii="Times New Roman" w:hAnsi="Times New Roman"/>
                <w:szCs w:val="28"/>
              </w:rPr>
              <w:t>1.3 Зарубежный опыт развития розничных банковских услуг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szCs w:val="28"/>
              </w:rPr>
            </w:pPr>
          </w:p>
        </w:tc>
      </w:tr>
      <w:tr w:rsidR="00243EA1" w:rsidRPr="00904D1B" w:rsidTr="000501F6">
        <w:trPr>
          <w:gridAfter w:val="1"/>
          <w:wAfter w:w="636" w:type="dxa"/>
          <w:trHeight w:val="1060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caps/>
                <w:szCs w:val="28"/>
              </w:rPr>
              <w:t xml:space="preserve">АНАЛИЗ РазвитиЯ розничных банковских услуг В РЕСПУБЛИКЕ КАЗАХСТАН (НА ПРИМЕРЕ </w:t>
            </w:r>
            <w:r>
              <w:rPr>
                <w:rFonts w:ascii="Times New Roman" w:hAnsi="Times New Roman"/>
                <w:b/>
                <w:szCs w:val="28"/>
              </w:rPr>
              <w:t>АО</w:t>
            </w:r>
            <w:r w:rsidRPr="00904D1B">
              <w:rPr>
                <w:rFonts w:ascii="Times New Roman" w:hAnsi="Times New Roman"/>
                <w:b/>
                <w:caps/>
                <w:szCs w:val="28"/>
              </w:rPr>
              <w:t>)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243EA1">
            <w:pPr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szCs w:val="28"/>
              </w:rPr>
              <w:t xml:space="preserve">2.1 Анализ розничных услуг в коммерческом банке </w:t>
            </w:r>
            <w:r>
              <w:rPr>
                <w:rFonts w:ascii="Times New Roman" w:hAnsi="Times New Roman"/>
                <w:szCs w:val="28"/>
              </w:rPr>
              <w:t xml:space="preserve">АО 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243EA1">
            <w:pPr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szCs w:val="28"/>
              </w:rPr>
              <w:t xml:space="preserve">2.2 Анализ конкурентных позиций </w:t>
            </w:r>
            <w:r>
              <w:rPr>
                <w:rFonts w:ascii="Times New Roman" w:hAnsi="Times New Roman"/>
                <w:szCs w:val="28"/>
              </w:rPr>
              <w:t xml:space="preserve">АО  </w:t>
            </w:r>
            <w:r w:rsidRPr="00904D1B">
              <w:rPr>
                <w:rFonts w:ascii="Times New Roman" w:hAnsi="Times New Roman"/>
                <w:szCs w:val="28"/>
              </w:rPr>
              <w:t>на розничном рынке банковских продуктов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szCs w:val="28"/>
              </w:rPr>
            </w:pP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675" w:type="dxa"/>
            <w:shd w:val="clear" w:color="auto" w:fill="auto"/>
          </w:tcPr>
          <w:p w:rsidR="00243EA1" w:rsidRPr="00904D1B" w:rsidRDefault="00243EA1" w:rsidP="000501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243EA1" w:rsidRPr="00904D1B" w:rsidRDefault="00243EA1" w:rsidP="000501F6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>ПРИОРИТЕТНЫЕ</w:t>
            </w:r>
            <w:r w:rsidRPr="00904D1B">
              <w:rPr>
                <w:rFonts w:ascii="Times New Roman" w:eastAsia="Calibri" w:hAnsi="Times New Roman"/>
                <w:b/>
                <w:caps/>
                <w:spacing w:val="-2"/>
                <w:szCs w:val="28"/>
                <w:lang w:eastAsia="en-US"/>
              </w:rPr>
              <w:t xml:space="preserve"> направления развития ИННОВАЦИЙ НА розничноМ рынкЕ БАНКОВСКИХ УСЛУГ </w:t>
            </w:r>
            <w:r w:rsidRPr="00904D1B">
              <w:rPr>
                <w:rFonts w:ascii="Times New Roman" w:hAnsi="Times New Roman"/>
                <w:b/>
                <w:caps/>
                <w:szCs w:val="28"/>
              </w:rPr>
              <w:t>В УСЛОВИЯХ ОБОСТРЕНИЯ КОНКУРЕНЦИИ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9464" w:type="dxa"/>
            <w:gridSpan w:val="2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9464" w:type="dxa"/>
            <w:gridSpan w:val="2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>ВЫВОДЫ И РЕКОММЕНДАЦИИ</w:t>
            </w:r>
          </w:p>
        </w:tc>
      </w:tr>
      <w:tr w:rsidR="00243EA1" w:rsidRPr="00904D1B" w:rsidTr="000501F6">
        <w:trPr>
          <w:gridAfter w:val="1"/>
          <w:wAfter w:w="636" w:type="dxa"/>
        </w:trPr>
        <w:tc>
          <w:tcPr>
            <w:tcW w:w="9464" w:type="dxa"/>
            <w:gridSpan w:val="2"/>
            <w:shd w:val="clear" w:color="auto" w:fill="auto"/>
          </w:tcPr>
          <w:p w:rsidR="00243EA1" w:rsidRPr="00904D1B" w:rsidRDefault="00243EA1" w:rsidP="000501F6">
            <w:pPr>
              <w:rPr>
                <w:rFonts w:ascii="Times New Roman" w:hAnsi="Times New Roman"/>
                <w:b/>
                <w:szCs w:val="28"/>
              </w:rPr>
            </w:pPr>
            <w:r w:rsidRPr="00904D1B">
              <w:rPr>
                <w:rFonts w:ascii="Times New Roman" w:hAnsi="Times New Roman"/>
                <w:b/>
                <w:szCs w:val="28"/>
              </w:rPr>
              <w:t xml:space="preserve">СПИСОК ИСПОЛЬЗОВАННЫХ ИСТОЧНИКОВ  </w:t>
            </w:r>
          </w:p>
        </w:tc>
      </w:tr>
    </w:tbl>
    <w:p w:rsidR="00243EA1" w:rsidRDefault="00243EA1" w:rsidP="00243EA1">
      <w:pPr>
        <w:rPr>
          <w:rFonts w:ascii="Times New Roman" w:hAnsi="Times New Roman"/>
        </w:rPr>
      </w:pPr>
    </w:p>
    <w:p w:rsidR="00243EA1" w:rsidRDefault="00243EA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3EA1" w:rsidRPr="00904D1B" w:rsidRDefault="00243EA1" w:rsidP="00243EA1">
      <w:pPr>
        <w:spacing w:line="276" w:lineRule="auto"/>
        <w:jc w:val="center"/>
        <w:rPr>
          <w:rFonts w:ascii="Times New Roman" w:eastAsia="Calibri" w:hAnsi="Times New Roman"/>
          <w:b/>
          <w:szCs w:val="28"/>
        </w:rPr>
      </w:pPr>
      <w:r w:rsidRPr="00904D1B">
        <w:rPr>
          <w:rFonts w:ascii="Times New Roman" w:eastAsia="Calibri" w:hAnsi="Times New Roman"/>
          <w:b/>
          <w:szCs w:val="28"/>
        </w:rPr>
        <w:lastRenderedPageBreak/>
        <w:t>ВЫВОДЫ И РЕКОММЕНДАЦИИ</w:t>
      </w:r>
    </w:p>
    <w:p w:rsidR="00243EA1" w:rsidRPr="00904D1B" w:rsidRDefault="00243EA1" w:rsidP="00243EA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0"/>
        </w:rPr>
      </w:pPr>
    </w:p>
    <w:p w:rsidR="00243EA1" w:rsidRPr="00904D1B" w:rsidRDefault="00243EA1" w:rsidP="00243EA1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904D1B">
        <w:rPr>
          <w:rFonts w:ascii="Times New Roman" w:hAnsi="Times New Roman"/>
          <w:szCs w:val="28"/>
        </w:rPr>
        <w:t>Тема «Развитие розничных банковских услуг в условиях инновационной экономики (на примере деятельности АО «») является актуальной, так как в условиях высокой конкуренции, возникает необходимость внедрения в банке новых технологий, современных методов и моделей управления, направленных на привлечения новых клиентов и удержания имеющихся.</w:t>
      </w:r>
    </w:p>
    <w:p w:rsidR="00243EA1" w:rsidRPr="00904D1B" w:rsidRDefault="00243EA1" w:rsidP="00243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/>
          <w:szCs w:val="28"/>
        </w:rPr>
      </w:pPr>
      <w:r w:rsidRPr="00904D1B">
        <w:rPr>
          <w:rFonts w:ascii="Times New Roman" w:eastAsia="Calibri" w:hAnsi="Times New Roman"/>
          <w:szCs w:val="28"/>
        </w:rPr>
        <w:t>Изучение экономической литературы позволило выявить, что понятие «новизна» и «инновация» в сфере изучения банковских продуктов, идентичны и общие черты следующие:</w:t>
      </w:r>
    </w:p>
    <w:p w:rsidR="00243EA1" w:rsidRPr="00904D1B" w:rsidRDefault="00243EA1" w:rsidP="00243EA1">
      <w:pPr>
        <w:widowControl w:val="0"/>
        <w:ind w:firstLine="709"/>
        <w:jc w:val="both"/>
        <w:rPr>
          <w:rFonts w:ascii="Times New Roman" w:eastAsia="Calibri" w:hAnsi="Times New Roman"/>
          <w:szCs w:val="28"/>
          <w:shd w:val="clear" w:color="auto" w:fill="F8F9FA"/>
        </w:rPr>
      </w:pPr>
      <w:r w:rsidRPr="00904D1B">
        <w:rPr>
          <w:rFonts w:ascii="Times New Roman" w:eastAsia="Calibri" w:hAnsi="Times New Roman"/>
          <w:szCs w:val="28"/>
        </w:rPr>
        <w:t>-любой продукт, который банк разработал самостоятельно и не имеющий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 xml:space="preserve"> </w:t>
      </w:r>
      <w:r w:rsidRPr="00904D1B">
        <w:rPr>
          <w:rFonts w:ascii="Times New Roman" w:eastAsia="Calibri" w:hAnsi="Times New Roman"/>
          <w:szCs w:val="28"/>
        </w:rPr>
        <w:t>аналогов;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 xml:space="preserve"> </w:t>
      </w:r>
    </w:p>
    <w:p w:rsidR="00243EA1" w:rsidRPr="00904D1B" w:rsidRDefault="00243EA1" w:rsidP="00243EA1">
      <w:pPr>
        <w:widowControl w:val="0"/>
        <w:ind w:firstLine="709"/>
        <w:jc w:val="both"/>
        <w:rPr>
          <w:rFonts w:ascii="Times New Roman" w:eastAsia="Calibri" w:hAnsi="Times New Roman"/>
          <w:szCs w:val="28"/>
          <w:shd w:val="clear" w:color="auto" w:fill="F8F9FA"/>
        </w:rPr>
      </w:pPr>
      <w:r w:rsidRPr="00904D1B">
        <w:rPr>
          <w:rFonts w:ascii="Times New Roman" w:eastAsia="Calibri" w:hAnsi="Times New Roman"/>
          <w:szCs w:val="28"/>
        </w:rPr>
        <w:t>-любой продукт, который уже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 xml:space="preserve"> </w:t>
      </w:r>
      <w:r w:rsidRPr="00904D1B">
        <w:rPr>
          <w:rFonts w:ascii="Times New Roman" w:eastAsia="Calibri" w:hAnsi="Times New Roman"/>
          <w:szCs w:val="28"/>
        </w:rPr>
        <w:t>доступен в спектре услуг банка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 xml:space="preserve"> и </w:t>
      </w:r>
      <w:r w:rsidRPr="00904D1B">
        <w:rPr>
          <w:rFonts w:ascii="Times New Roman" w:eastAsia="Calibri" w:hAnsi="Times New Roman"/>
          <w:szCs w:val="28"/>
        </w:rPr>
        <w:t>используется на одном из рынков, но снят на другом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 xml:space="preserve">; </w:t>
      </w:r>
    </w:p>
    <w:p w:rsidR="00243EA1" w:rsidRPr="00904D1B" w:rsidRDefault="00243EA1" w:rsidP="00243EA1">
      <w:pPr>
        <w:widowControl w:val="0"/>
        <w:ind w:firstLine="709"/>
        <w:jc w:val="both"/>
        <w:rPr>
          <w:rFonts w:ascii="Times New Roman" w:eastAsia="Calibri" w:hAnsi="Times New Roman"/>
          <w:szCs w:val="28"/>
        </w:rPr>
      </w:pPr>
      <w:r w:rsidRPr="00904D1B">
        <w:rPr>
          <w:rFonts w:ascii="Times New Roman" w:eastAsia="Calibri" w:hAnsi="Times New Roman"/>
          <w:szCs w:val="28"/>
        </w:rPr>
        <w:t>-любой продукт, внедренный банком на основе маркетинговых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 xml:space="preserve"> </w:t>
      </w:r>
      <w:r w:rsidRPr="00904D1B">
        <w:rPr>
          <w:rFonts w:ascii="Times New Roman" w:eastAsia="Calibri" w:hAnsi="Times New Roman"/>
          <w:szCs w:val="28"/>
        </w:rPr>
        <w:t>исследований и оценки коммерческой целесообразности создания аналога, уже имеющегося на рынке, является новым</w:t>
      </w:r>
      <w:r w:rsidRPr="00904D1B">
        <w:rPr>
          <w:rFonts w:ascii="Times New Roman" w:eastAsia="Calibri" w:hAnsi="Times New Roman"/>
          <w:szCs w:val="28"/>
          <w:shd w:val="clear" w:color="auto" w:fill="F8F9FA"/>
        </w:rPr>
        <w:t>.</w:t>
      </w:r>
      <w:r w:rsidRPr="00904D1B">
        <w:rPr>
          <w:rFonts w:ascii="Times New Roman" w:eastAsia="Calibri" w:hAnsi="Times New Roman"/>
          <w:szCs w:val="28"/>
        </w:rPr>
        <w:t xml:space="preserve"> </w:t>
      </w:r>
    </w:p>
    <w:p w:rsidR="00243EA1" w:rsidRDefault="00243EA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3EA1" w:rsidRDefault="00243EA1" w:rsidP="00243EA1">
      <w:pPr>
        <w:widowControl w:val="0"/>
        <w:shd w:val="clear" w:color="auto" w:fill="FFFFFF"/>
        <w:ind w:firstLine="709"/>
        <w:jc w:val="center"/>
        <w:rPr>
          <w:rFonts w:ascii="Times New Roman" w:eastAsia="Calibri" w:hAnsi="Times New Roman"/>
          <w:b/>
          <w:szCs w:val="28"/>
        </w:rPr>
      </w:pPr>
      <w:r w:rsidRPr="00904D1B">
        <w:rPr>
          <w:rFonts w:ascii="Times New Roman" w:eastAsia="Calibri" w:hAnsi="Times New Roman"/>
          <w:b/>
          <w:szCs w:val="28"/>
        </w:rPr>
        <w:lastRenderedPageBreak/>
        <w:t>СПИСОК ИСПОЛЬЗОВАННЫХ ИСТОЧНИКОВ</w:t>
      </w:r>
    </w:p>
    <w:p w:rsidR="00243EA1" w:rsidRDefault="00243EA1" w:rsidP="00243EA1">
      <w:pPr>
        <w:widowControl w:val="0"/>
        <w:shd w:val="clear" w:color="auto" w:fill="FFFFFF"/>
        <w:ind w:firstLine="709"/>
        <w:jc w:val="center"/>
        <w:rPr>
          <w:rFonts w:ascii="Times New Roman" w:eastAsia="Calibri" w:hAnsi="Times New Roman"/>
          <w:b/>
          <w:szCs w:val="28"/>
        </w:rPr>
      </w:pPr>
    </w:p>
    <w:p w:rsidR="00243EA1" w:rsidRPr="00904D1B" w:rsidRDefault="00243EA1" w:rsidP="00243EA1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szCs w:val="28"/>
        </w:rPr>
      </w:pPr>
      <w:r w:rsidRPr="00904D1B">
        <w:rPr>
          <w:rFonts w:ascii="Times New Roman" w:eastAsia="Calibri" w:hAnsi="Times New Roman"/>
          <w:szCs w:val="28"/>
        </w:rPr>
        <w:t xml:space="preserve">Годовой отчет МВФ 2019. Наш взаимосвязанный мир </w:t>
      </w:r>
      <w:hyperlink r:id="rId5" w:history="1">
        <w:r w:rsidRPr="00904D1B">
          <w:rPr>
            <w:rFonts w:ascii="Times New Roman" w:eastAsia="Calibri" w:hAnsi="Times New Roman"/>
            <w:szCs w:val="28"/>
          </w:rPr>
          <w:t>https://www.imf.org/external/pubs/ft/ar/2019/eng/assets/pdf/imf-annual-report-2019-ru.pdf</w:t>
        </w:r>
      </w:hyperlink>
    </w:p>
    <w:p w:rsidR="00243EA1" w:rsidRPr="00904D1B" w:rsidRDefault="00243EA1" w:rsidP="00243EA1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szCs w:val="28"/>
        </w:rPr>
      </w:pPr>
      <w:proofErr w:type="spellStart"/>
      <w:r w:rsidRPr="00904D1B">
        <w:rPr>
          <w:rFonts w:ascii="Times New Roman" w:eastAsia="Calibri" w:hAnsi="Times New Roman"/>
          <w:szCs w:val="28"/>
        </w:rPr>
        <w:t>Ачкасов</w:t>
      </w:r>
      <w:proofErr w:type="spellEnd"/>
      <w:r w:rsidRPr="00904D1B">
        <w:rPr>
          <w:rFonts w:ascii="Times New Roman" w:eastAsia="Calibri" w:hAnsi="Times New Roman"/>
          <w:szCs w:val="28"/>
        </w:rPr>
        <w:t xml:space="preserve"> А.Л. Активные операции коммерческих банков /А.И. </w:t>
      </w:r>
      <w:proofErr w:type="spellStart"/>
      <w:r w:rsidRPr="00904D1B">
        <w:rPr>
          <w:rFonts w:ascii="Times New Roman" w:eastAsia="Calibri" w:hAnsi="Times New Roman"/>
          <w:szCs w:val="28"/>
        </w:rPr>
        <w:t>Ачкасов</w:t>
      </w:r>
      <w:proofErr w:type="spellEnd"/>
      <w:r w:rsidRPr="00904D1B">
        <w:rPr>
          <w:rFonts w:ascii="Times New Roman" w:eastAsia="Calibri" w:hAnsi="Times New Roman"/>
          <w:szCs w:val="28"/>
        </w:rPr>
        <w:t>. - М.: НИЦ ИНФРА-М, 2016. - 365 с.</w:t>
      </w:r>
    </w:p>
    <w:p w:rsidR="00243EA1" w:rsidRPr="00904D1B" w:rsidRDefault="00243EA1" w:rsidP="00243EA1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szCs w:val="28"/>
        </w:rPr>
      </w:pPr>
      <w:r w:rsidRPr="00904D1B">
        <w:rPr>
          <w:rFonts w:ascii="Times New Roman" w:eastAsia="Calibri" w:hAnsi="Times New Roman"/>
          <w:szCs w:val="28"/>
        </w:rPr>
        <w:t xml:space="preserve">Стародубцева Е. Б. Основы банковского дела: учебник / Е.Б. Стародубцева.  – 2-е изд., </w:t>
      </w:r>
      <w:proofErr w:type="spellStart"/>
      <w:r w:rsidRPr="00904D1B">
        <w:rPr>
          <w:rFonts w:ascii="Times New Roman" w:eastAsia="Calibri" w:hAnsi="Times New Roman"/>
          <w:szCs w:val="28"/>
        </w:rPr>
        <w:t>перераб</w:t>
      </w:r>
      <w:proofErr w:type="spellEnd"/>
      <w:proofErr w:type="gramStart"/>
      <w:r w:rsidRPr="00904D1B">
        <w:rPr>
          <w:rFonts w:ascii="Times New Roman" w:eastAsia="Calibri" w:hAnsi="Times New Roman"/>
          <w:szCs w:val="28"/>
        </w:rPr>
        <w:t>.</w:t>
      </w:r>
      <w:proofErr w:type="gramEnd"/>
      <w:r w:rsidRPr="00904D1B">
        <w:rPr>
          <w:rFonts w:ascii="Times New Roman" w:eastAsia="Calibri" w:hAnsi="Times New Roman"/>
          <w:szCs w:val="28"/>
        </w:rPr>
        <w:t xml:space="preserve"> и доп.  – М.: ИД «ФОРУМ»: ИНФРА-М, 2019.  – 288 с.</w:t>
      </w:r>
    </w:p>
    <w:p w:rsidR="00243EA1" w:rsidRPr="00904D1B" w:rsidRDefault="00243EA1" w:rsidP="00243EA1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szCs w:val="28"/>
        </w:rPr>
      </w:pPr>
      <w:proofErr w:type="spellStart"/>
      <w:r w:rsidRPr="00904D1B">
        <w:rPr>
          <w:rFonts w:ascii="Times New Roman" w:eastAsia="Calibri" w:hAnsi="Times New Roman"/>
          <w:szCs w:val="28"/>
        </w:rPr>
        <w:t>Марамыгин</w:t>
      </w:r>
      <w:proofErr w:type="spellEnd"/>
      <w:r w:rsidRPr="00904D1B">
        <w:rPr>
          <w:rFonts w:ascii="Times New Roman" w:eastAsia="Calibri" w:hAnsi="Times New Roman"/>
          <w:szCs w:val="28"/>
        </w:rPr>
        <w:t xml:space="preserve"> М. С., Поваров А. В. Понятие розничного банковского продукта Международная студенческая электронная научная конференция «Студенческий научный форум 2016» </w:t>
      </w:r>
      <w:hyperlink r:id="rId6" w:history="1">
        <w:r w:rsidRPr="00904D1B">
          <w:rPr>
            <w:rFonts w:ascii="Times New Roman" w:eastAsia="Calibri" w:hAnsi="Times New Roman"/>
            <w:szCs w:val="28"/>
            <w:u w:val="single"/>
          </w:rPr>
          <w:t>http://www.rae.ru/forum2012/21/654</w:t>
        </w:r>
      </w:hyperlink>
    </w:p>
    <w:p w:rsidR="00243EA1" w:rsidRPr="00904D1B" w:rsidRDefault="00243EA1" w:rsidP="00243EA1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/>
          <w:szCs w:val="28"/>
        </w:rPr>
      </w:pPr>
      <w:proofErr w:type="spellStart"/>
      <w:r w:rsidRPr="00904D1B">
        <w:rPr>
          <w:rFonts w:ascii="Times New Roman" w:eastAsia="Calibri" w:hAnsi="Times New Roman"/>
          <w:szCs w:val="28"/>
        </w:rPr>
        <w:t>Марамыгин</w:t>
      </w:r>
      <w:proofErr w:type="spellEnd"/>
      <w:r w:rsidRPr="00904D1B">
        <w:rPr>
          <w:rFonts w:ascii="Times New Roman" w:eastAsia="Calibri" w:hAnsi="Times New Roman"/>
          <w:szCs w:val="28"/>
        </w:rPr>
        <w:t xml:space="preserve"> М.С., Стрельников Е.В. Понятие и экономическая сущность конкуренции на рынке финансовых услуг// Известия Уральского государственного экономического университета. –2018. – № 4. – С. 24-41.</w:t>
      </w:r>
    </w:p>
    <w:p w:rsidR="00243EA1" w:rsidRPr="00243EA1" w:rsidRDefault="00243EA1" w:rsidP="00243EA1">
      <w:pPr>
        <w:rPr>
          <w:rFonts w:ascii="Times New Roman" w:hAnsi="Times New Roman"/>
        </w:rPr>
      </w:pPr>
      <w:bookmarkStart w:id="0" w:name="_GoBack"/>
      <w:bookmarkEnd w:id="0"/>
    </w:p>
    <w:sectPr w:rsidR="00243EA1" w:rsidRPr="002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765"/>
    <w:multiLevelType w:val="hybridMultilevel"/>
    <w:tmpl w:val="BF7C7B06"/>
    <w:lvl w:ilvl="0" w:tplc="F0301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1565"/>
    <w:multiLevelType w:val="multilevel"/>
    <w:tmpl w:val="17940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6"/>
    <w:rsid w:val="000703D6"/>
    <w:rsid w:val="00243EA1"/>
    <w:rsid w:val="00C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35C"/>
  <w15:chartTrackingRefBased/>
  <w15:docId w15:val="{75E6778C-33FD-44B9-9F4F-577FE98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A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ru/forum2012/21/654" TargetMode="External"/><Relationship Id="rId5" Type="http://schemas.openxmlformats.org/officeDocument/2006/relationships/hyperlink" Target="https://www.imf.org/external/pubs/ft/ar/2019/eng/assets/pdf/imf-annual-report-2019-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2021-02-08T07:42:00Z</dcterms:created>
  <dcterms:modified xsi:type="dcterms:W3CDTF">2021-02-08T07:44:00Z</dcterms:modified>
</cp:coreProperties>
</file>