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A9" w:rsidRDefault="001750A9" w:rsidP="001750A9">
      <w:pPr>
        <w:pStyle w:val="a3"/>
        <w:spacing w:before="0" w:beforeAutospacing="0" w:after="0" w:afterAutospacing="0"/>
        <w:ind w:firstLine="709"/>
        <w:jc w:val="center"/>
        <w:outlineLvl w:val="0"/>
        <w:rPr>
          <w:b/>
          <w:sz w:val="28"/>
          <w:szCs w:val="28"/>
        </w:rPr>
      </w:pPr>
      <w:r>
        <w:rPr>
          <w:b/>
          <w:sz w:val="28"/>
          <w:szCs w:val="28"/>
        </w:rPr>
        <w:t>Диссер_</w:t>
      </w:r>
      <w:r w:rsidRPr="006118AA">
        <w:rPr>
          <w:b/>
          <w:sz w:val="28"/>
          <w:szCs w:val="28"/>
        </w:rPr>
        <w:t>Состояние брачно-семейного законодательства в Республики Казахстан и основные направления его дальнейшего совершенствования"</w:t>
      </w:r>
    </w:p>
    <w:p w:rsidR="001750A9" w:rsidRDefault="001750A9" w:rsidP="001750A9">
      <w:pPr>
        <w:pStyle w:val="a3"/>
        <w:spacing w:before="0" w:beforeAutospacing="0" w:after="0" w:afterAutospacing="0"/>
        <w:ind w:firstLine="709"/>
        <w:jc w:val="center"/>
        <w:outlineLvl w:val="0"/>
        <w:rPr>
          <w:b/>
          <w:sz w:val="28"/>
          <w:szCs w:val="28"/>
        </w:rPr>
      </w:pPr>
      <w:r>
        <w:rPr>
          <w:b/>
          <w:sz w:val="28"/>
          <w:szCs w:val="28"/>
        </w:rPr>
        <w:t>Стр-87</w:t>
      </w:r>
    </w:p>
    <w:p w:rsidR="001750A9" w:rsidRPr="00C24B4E" w:rsidRDefault="001750A9" w:rsidP="001750A9">
      <w:pPr>
        <w:spacing w:after="0" w:line="240" w:lineRule="auto"/>
        <w:ind w:firstLine="709"/>
        <w:jc w:val="both"/>
        <w:rPr>
          <w:rFonts w:ascii="Times New Roman" w:hAnsi="Times New Roman" w:cs="Times New Roman"/>
          <w:sz w:val="28"/>
          <w:szCs w:val="28"/>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391"/>
      </w:tblGrid>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b/>
                <w:sz w:val="28"/>
                <w:szCs w:val="28"/>
              </w:rPr>
              <w:t>Введение</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CC2A01">
            <w:pPr>
              <w:ind w:firstLine="709"/>
              <w:jc w:val="both"/>
              <w:rPr>
                <w:rFonts w:ascii="Times New Roman" w:hAnsi="Times New Roman" w:cs="Times New Roman"/>
                <w:sz w:val="28"/>
                <w:szCs w:val="28"/>
              </w:rPr>
            </w:pP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b/>
                <w:sz w:val="28"/>
                <w:szCs w:val="28"/>
              </w:rPr>
              <w:t>1 Теоретические аспекты брачно-семейного правоотношения в РК</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1.1 Понятие, содержание и особенности брачно-семейных отношений</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1.2 Порядок, условия заключения брака и расторжения брака</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1.3 Недействительность брака (порядок, основания, последствия и правовая природа).</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1.4 Личные и имущественные права и обязанности супругов</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CC2A01">
            <w:pPr>
              <w:ind w:firstLine="709"/>
              <w:jc w:val="both"/>
              <w:rPr>
                <w:rFonts w:ascii="Times New Roman" w:hAnsi="Times New Roman" w:cs="Times New Roman"/>
                <w:sz w:val="28"/>
                <w:szCs w:val="28"/>
              </w:rPr>
            </w:pP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b/>
                <w:sz w:val="28"/>
                <w:szCs w:val="28"/>
              </w:rPr>
              <w:t>2 Правовое регулирование брачно-семейных отношений по законодательству РК</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2.1 Законодательство, регулирующее брачно-семейные правоотношения в РК</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2.2 Брачный договор - как способ регулирования имущественных отношений супругов по законодательству РК</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2.3 Алиментные обязательства родителей по содержанию своих несовершеннолетних детей</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CC2A01">
            <w:pPr>
              <w:ind w:firstLine="709"/>
              <w:jc w:val="both"/>
              <w:rPr>
                <w:rFonts w:ascii="Times New Roman" w:hAnsi="Times New Roman" w:cs="Times New Roman"/>
                <w:sz w:val="28"/>
                <w:szCs w:val="28"/>
              </w:rPr>
            </w:pP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b/>
                <w:sz w:val="28"/>
                <w:szCs w:val="28"/>
              </w:rPr>
              <w:t>3 Практические аспекты применения брачно-семейного законодательства Республики Казахстан и основные направления его дальнейшего совершенствования</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3.1 Проблемы правового регулирования суррогатного материнства</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3.2 Особенности усыновления (удочерения) казахстанских детей иностранными гражданами</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sz w:val="28"/>
                <w:szCs w:val="28"/>
              </w:rPr>
              <w:t>3.3 Семейная медиация как одно из ведущих направлений государственной семейной политики</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CC2A01">
            <w:pPr>
              <w:ind w:firstLine="709"/>
              <w:jc w:val="both"/>
              <w:rPr>
                <w:rFonts w:ascii="Times New Roman" w:hAnsi="Times New Roman" w:cs="Times New Roman"/>
                <w:sz w:val="28"/>
                <w:szCs w:val="28"/>
              </w:rPr>
            </w:pP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b/>
                <w:sz w:val="28"/>
                <w:szCs w:val="28"/>
              </w:rPr>
              <w:t>Заключение</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CC2A01">
            <w:pPr>
              <w:ind w:firstLine="709"/>
              <w:jc w:val="both"/>
              <w:rPr>
                <w:rFonts w:ascii="Times New Roman" w:hAnsi="Times New Roman" w:cs="Times New Roman"/>
                <w:sz w:val="28"/>
                <w:szCs w:val="28"/>
              </w:rPr>
            </w:pP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1750A9">
            <w:pPr>
              <w:ind w:firstLine="709"/>
              <w:jc w:val="both"/>
              <w:rPr>
                <w:rFonts w:ascii="Times New Roman" w:hAnsi="Times New Roman" w:cs="Times New Roman"/>
                <w:sz w:val="28"/>
                <w:szCs w:val="28"/>
              </w:rPr>
            </w:pPr>
            <w:r w:rsidRPr="00C24B4E">
              <w:rPr>
                <w:rFonts w:ascii="Times New Roman" w:hAnsi="Times New Roman" w:cs="Times New Roman"/>
                <w:b/>
                <w:sz w:val="28"/>
                <w:szCs w:val="28"/>
              </w:rPr>
              <w:t>Список использованной литературы</w:t>
            </w:r>
          </w:p>
        </w:tc>
        <w:tc>
          <w:tcPr>
            <w:tcW w:w="391" w:type="dxa"/>
          </w:tcPr>
          <w:p w:rsidR="001750A9" w:rsidRPr="006118AA" w:rsidRDefault="001750A9" w:rsidP="00CC2A01">
            <w:pPr>
              <w:jc w:val="both"/>
              <w:rPr>
                <w:rFonts w:ascii="Times New Roman" w:hAnsi="Times New Roman" w:cs="Times New Roman"/>
                <w:sz w:val="28"/>
                <w:szCs w:val="28"/>
              </w:rPr>
            </w:pPr>
          </w:p>
        </w:tc>
      </w:tr>
      <w:tr w:rsidR="001750A9" w:rsidRPr="006118AA" w:rsidTr="001750A9">
        <w:tc>
          <w:tcPr>
            <w:tcW w:w="9498" w:type="dxa"/>
          </w:tcPr>
          <w:p w:rsidR="001750A9" w:rsidRPr="00C24B4E" w:rsidRDefault="001750A9" w:rsidP="00CC2A01">
            <w:pPr>
              <w:ind w:firstLine="709"/>
              <w:jc w:val="both"/>
              <w:rPr>
                <w:rFonts w:ascii="Times New Roman" w:hAnsi="Times New Roman" w:cs="Times New Roman"/>
                <w:sz w:val="28"/>
                <w:szCs w:val="28"/>
              </w:rPr>
            </w:pPr>
          </w:p>
        </w:tc>
        <w:tc>
          <w:tcPr>
            <w:tcW w:w="391" w:type="dxa"/>
          </w:tcPr>
          <w:p w:rsidR="001750A9" w:rsidRPr="006118AA" w:rsidRDefault="001750A9" w:rsidP="00CC2A01">
            <w:pPr>
              <w:jc w:val="both"/>
              <w:rPr>
                <w:rFonts w:ascii="Times New Roman" w:hAnsi="Times New Roman" w:cs="Times New Roman"/>
                <w:sz w:val="28"/>
                <w:szCs w:val="28"/>
              </w:rPr>
            </w:pPr>
          </w:p>
        </w:tc>
      </w:tr>
    </w:tbl>
    <w:p w:rsidR="001750A9" w:rsidRDefault="001750A9" w:rsidP="001750A9">
      <w:pPr>
        <w:pStyle w:val="a3"/>
        <w:spacing w:before="0" w:beforeAutospacing="0" w:after="0" w:afterAutospacing="0"/>
        <w:ind w:firstLine="709"/>
        <w:outlineLvl w:val="0"/>
        <w:rPr>
          <w:b/>
          <w:sz w:val="28"/>
          <w:szCs w:val="28"/>
        </w:rPr>
      </w:pPr>
    </w:p>
    <w:p w:rsidR="001750A9" w:rsidRDefault="001750A9">
      <w:r>
        <w:br w:type="page"/>
      </w:r>
    </w:p>
    <w:p w:rsidR="001750A9" w:rsidRPr="006207C4" w:rsidRDefault="001750A9" w:rsidP="001750A9">
      <w:pPr>
        <w:pStyle w:val="a3"/>
        <w:spacing w:before="0" w:beforeAutospacing="0" w:after="0" w:afterAutospacing="0"/>
        <w:ind w:firstLine="709"/>
        <w:jc w:val="both"/>
        <w:outlineLvl w:val="0"/>
        <w:rPr>
          <w:b/>
          <w:color w:val="000000"/>
          <w:sz w:val="28"/>
          <w:szCs w:val="28"/>
        </w:rPr>
      </w:pPr>
      <w:r w:rsidRPr="006207C4">
        <w:rPr>
          <w:b/>
          <w:color w:val="000000"/>
          <w:sz w:val="28"/>
          <w:szCs w:val="28"/>
        </w:rPr>
        <w:lastRenderedPageBreak/>
        <w:t>Заключение</w:t>
      </w:r>
    </w:p>
    <w:p w:rsidR="001750A9" w:rsidRDefault="001750A9" w:rsidP="001750A9">
      <w:pPr>
        <w:pStyle w:val="a3"/>
        <w:spacing w:before="0" w:beforeAutospacing="0" w:after="0" w:afterAutospacing="0"/>
        <w:ind w:firstLine="709"/>
        <w:jc w:val="both"/>
        <w:rPr>
          <w:color w:val="000000"/>
          <w:sz w:val="28"/>
          <w:szCs w:val="28"/>
        </w:rPr>
      </w:pPr>
    </w:p>
    <w:p w:rsidR="001750A9" w:rsidRPr="00A07A0A" w:rsidRDefault="001750A9" w:rsidP="001750A9">
      <w:pPr>
        <w:spacing w:after="0" w:line="240" w:lineRule="auto"/>
        <w:ind w:firstLine="709"/>
        <w:jc w:val="both"/>
        <w:rPr>
          <w:rFonts w:ascii="Times New Roman" w:eastAsia="Times New Roman" w:hAnsi="Times New Roman" w:cs="Times New Roman"/>
          <w:sz w:val="28"/>
          <w:szCs w:val="28"/>
        </w:rPr>
      </w:pPr>
      <w:r w:rsidRPr="00A07A0A">
        <w:rPr>
          <w:rFonts w:ascii="Times New Roman" w:hAnsi="Times New Roman" w:cs="Times New Roman"/>
          <w:color w:val="000000"/>
          <w:sz w:val="28"/>
          <w:szCs w:val="28"/>
        </w:rPr>
        <w:t xml:space="preserve">Подводя итог исследованию можем сказать, что </w:t>
      </w:r>
      <w:r w:rsidRPr="00A07A0A">
        <w:rPr>
          <w:rFonts w:ascii="Times New Roman" w:hAnsi="Times New Roman" w:cs="Times New Roman"/>
          <w:sz w:val="28"/>
          <w:szCs w:val="28"/>
        </w:rPr>
        <w:t>в</w:t>
      </w:r>
      <w:r w:rsidRPr="00A07A0A">
        <w:rPr>
          <w:rFonts w:ascii="Times New Roman" w:eastAsia="Times New Roman" w:hAnsi="Times New Roman" w:cs="Times New Roman"/>
          <w:sz w:val="28"/>
          <w:szCs w:val="28"/>
        </w:rPr>
        <w:t xml:space="preserve"> семейном праве каждого современного государства основное место занимает институт брака. Брак (или супружество) представляет собой традиционный метод создания семьи. Такие явления, как мораль, обычаи, нравственность, религиозные взгляды, традиция, идеология, культура имеют тесную связь с процессом эволюции брачного института. Влияние данных реалий значительным образом воздействует на область семейно-брачных отношений как всего общества в целом, так и отдельных частных лиц. </w:t>
      </w:r>
    </w:p>
    <w:p w:rsidR="001750A9" w:rsidRDefault="001750A9" w:rsidP="001750A9">
      <w:pPr>
        <w:pStyle w:val="a3"/>
        <w:spacing w:before="0" w:beforeAutospacing="0" w:after="0" w:afterAutospacing="0"/>
        <w:ind w:firstLine="709"/>
        <w:jc w:val="both"/>
        <w:rPr>
          <w:color w:val="000000"/>
          <w:sz w:val="28"/>
          <w:szCs w:val="28"/>
        </w:rPr>
      </w:pPr>
      <w:r w:rsidRPr="00A07A0A">
        <w:rPr>
          <w:color w:val="000000"/>
          <w:sz w:val="28"/>
          <w:szCs w:val="28"/>
        </w:rPr>
        <w:t>Согласно действующему семейному законодательному акту, государством признается только брачный союз, зарегистрированный в соответствующих органах. В ином случае стороны не имеют правовой статус супругов и лишаются возможности защищать собственные права, поскольку никакими последствиями правового характера такой союз не характеризуется. Если брак заключен в какой-нибудь церкви, доме молитвы или мечети, то у него нет никакого юридического статуса.</w:t>
      </w:r>
    </w:p>
    <w:p w:rsidR="001750A9" w:rsidRDefault="001750A9">
      <w:r>
        <w:br w:type="page"/>
      </w:r>
    </w:p>
    <w:p w:rsidR="007E7C79" w:rsidRPr="00C24B4E" w:rsidRDefault="007E7C79" w:rsidP="007E7C79">
      <w:pPr>
        <w:pStyle w:val="a3"/>
        <w:spacing w:before="0" w:beforeAutospacing="0" w:after="0" w:afterAutospacing="0"/>
        <w:ind w:firstLine="709"/>
        <w:jc w:val="both"/>
        <w:outlineLvl w:val="0"/>
        <w:rPr>
          <w:b/>
          <w:color w:val="000000"/>
          <w:sz w:val="28"/>
          <w:szCs w:val="28"/>
        </w:rPr>
      </w:pPr>
      <w:r w:rsidRPr="00C24B4E">
        <w:rPr>
          <w:b/>
          <w:color w:val="000000"/>
          <w:sz w:val="28"/>
          <w:szCs w:val="28"/>
        </w:rPr>
        <w:lastRenderedPageBreak/>
        <w:t>Список использованной литературы</w:t>
      </w:r>
    </w:p>
    <w:p w:rsidR="007E7C79" w:rsidRDefault="007E7C79">
      <w:bookmarkStart w:id="0" w:name="_GoBack"/>
      <w:bookmarkEnd w:id="0"/>
    </w:p>
    <w:p w:rsidR="00C27F0E" w:rsidRPr="006207C4" w:rsidRDefault="00C27F0E" w:rsidP="00C27F0E">
      <w:pPr>
        <w:pStyle w:val="a5"/>
        <w:numPr>
          <w:ilvl w:val="0"/>
          <w:numId w:val="1"/>
        </w:numPr>
        <w:spacing w:after="0" w:line="240" w:lineRule="auto"/>
        <w:ind w:left="0" w:firstLine="709"/>
        <w:jc w:val="both"/>
        <w:rPr>
          <w:rFonts w:ascii="Times New Roman" w:hAnsi="Times New Roman" w:cs="Times New Roman"/>
          <w:sz w:val="28"/>
          <w:szCs w:val="28"/>
          <w:lang w:val="kk-KZ"/>
        </w:rPr>
      </w:pPr>
      <w:r w:rsidRPr="006207C4">
        <w:rPr>
          <w:rFonts w:ascii="Times New Roman" w:hAnsi="Times New Roman" w:cs="Times New Roman"/>
          <w:sz w:val="28"/>
          <w:szCs w:val="28"/>
          <w:lang w:val="kk-KZ"/>
        </w:rPr>
        <w:t>Камышанский В.П.</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Конституционные ограничения права собственности</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Юрист.</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200</w:t>
      </w:r>
      <w:r w:rsidRPr="006207C4">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5</w:t>
      </w:r>
      <w:r>
        <w:rPr>
          <w:rFonts w:ascii="Times New Roman" w:hAnsi="Times New Roman" w:cs="Times New Roman"/>
          <w:sz w:val="28"/>
          <w:szCs w:val="28"/>
          <w:lang w:val="kk-KZ"/>
        </w:rPr>
        <w:t>-10</w:t>
      </w:r>
    </w:p>
    <w:p w:rsidR="00C27F0E" w:rsidRPr="006207C4" w:rsidRDefault="00C27F0E" w:rsidP="00C27F0E">
      <w:pPr>
        <w:pStyle w:val="a5"/>
        <w:numPr>
          <w:ilvl w:val="0"/>
          <w:numId w:val="1"/>
        </w:numPr>
        <w:spacing w:after="0" w:line="240" w:lineRule="auto"/>
        <w:ind w:left="0" w:firstLine="709"/>
        <w:jc w:val="both"/>
        <w:rPr>
          <w:rFonts w:ascii="Times New Roman" w:hAnsi="Times New Roman" w:cs="Times New Roman"/>
          <w:sz w:val="28"/>
          <w:szCs w:val="28"/>
          <w:lang w:val="kk-KZ"/>
        </w:rPr>
      </w:pPr>
      <w:r w:rsidRPr="006207C4">
        <w:rPr>
          <w:rFonts w:ascii="Times New Roman" w:hAnsi="Times New Roman" w:cs="Times New Roman"/>
          <w:sz w:val="28"/>
          <w:szCs w:val="28"/>
          <w:lang w:val="kk-KZ"/>
        </w:rPr>
        <w:t>Левушкин А.Н. Теоретическая модель построения системы семейного законодательства государств-участников Содружества Независимых Государств: дис. д.ю.н.:12.00.03.</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М</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Москов</w:t>
      </w:r>
      <w:r>
        <w:rPr>
          <w:rFonts w:ascii="Times New Roman" w:hAnsi="Times New Roman" w:cs="Times New Roman"/>
          <w:sz w:val="28"/>
          <w:szCs w:val="28"/>
          <w:lang w:val="kk-KZ"/>
        </w:rPr>
        <w:t>ская академия экономики и права</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2013.</w:t>
      </w:r>
      <w:r w:rsidRPr="00AB4709">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480</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с.</w:t>
      </w:r>
    </w:p>
    <w:p w:rsidR="00C27F0E" w:rsidRPr="006207C4" w:rsidRDefault="00C27F0E" w:rsidP="00C27F0E">
      <w:pPr>
        <w:pStyle w:val="a5"/>
        <w:numPr>
          <w:ilvl w:val="0"/>
          <w:numId w:val="1"/>
        </w:numPr>
        <w:spacing w:after="0" w:line="240" w:lineRule="auto"/>
        <w:ind w:left="0" w:firstLine="709"/>
        <w:jc w:val="both"/>
        <w:rPr>
          <w:rFonts w:ascii="Times New Roman" w:hAnsi="Times New Roman" w:cs="Times New Roman"/>
          <w:sz w:val="28"/>
          <w:szCs w:val="28"/>
          <w:lang w:val="kk-KZ"/>
        </w:rPr>
      </w:pPr>
      <w:r w:rsidRPr="006207C4">
        <w:rPr>
          <w:rFonts w:ascii="Times New Roman" w:hAnsi="Times New Roman" w:cs="Times New Roman"/>
          <w:sz w:val="28"/>
          <w:szCs w:val="28"/>
          <w:lang w:val="kk-KZ"/>
        </w:rPr>
        <w:t>Бровкин А.В., Еремичев И.А., Страунинг Э.Л. Семья и закон в вопросах и ответах.</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М.: Щит-М.,</w:t>
      </w:r>
      <w:r>
        <w:rPr>
          <w:rFonts w:ascii="Times New Roman" w:hAnsi="Times New Roman" w:cs="Times New Roman"/>
          <w:sz w:val="28"/>
          <w:szCs w:val="28"/>
          <w:lang w:val="kk-KZ"/>
        </w:rPr>
        <w:t xml:space="preserve"> 2002</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142</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p>
    <w:p w:rsidR="00C27F0E" w:rsidRPr="006207C4" w:rsidRDefault="00C27F0E" w:rsidP="00C27F0E">
      <w:pPr>
        <w:pStyle w:val="a5"/>
        <w:numPr>
          <w:ilvl w:val="0"/>
          <w:numId w:val="1"/>
        </w:numPr>
        <w:spacing w:after="0" w:line="240" w:lineRule="auto"/>
        <w:ind w:left="0" w:firstLine="709"/>
        <w:jc w:val="both"/>
        <w:rPr>
          <w:rFonts w:ascii="Times New Roman" w:hAnsi="Times New Roman" w:cs="Times New Roman"/>
          <w:sz w:val="28"/>
          <w:szCs w:val="28"/>
          <w:lang w:val="kk-KZ"/>
        </w:rPr>
      </w:pPr>
      <w:r w:rsidRPr="006207C4">
        <w:rPr>
          <w:rFonts w:ascii="Times New Roman" w:hAnsi="Times New Roman" w:cs="Times New Roman"/>
          <w:sz w:val="28"/>
          <w:szCs w:val="28"/>
          <w:lang w:val="kk-KZ"/>
        </w:rPr>
        <w:t xml:space="preserve">Косова О.Ю. Семейное право: </w:t>
      </w:r>
      <w:r>
        <w:rPr>
          <w:rFonts w:ascii="Times New Roman" w:hAnsi="Times New Roman" w:cs="Times New Roman"/>
          <w:sz w:val="28"/>
          <w:szCs w:val="28"/>
          <w:lang w:val="kk-KZ"/>
        </w:rPr>
        <w:t>У</w:t>
      </w:r>
      <w:r w:rsidRPr="006207C4">
        <w:rPr>
          <w:rFonts w:ascii="Times New Roman" w:hAnsi="Times New Roman" w:cs="Times New Roman"/>
          <w:sz w:val="28"/>
          <w:szCs w:val="28"/>
          <w:lang w:val="kk-KZ"/>
        </w:rPr>
        <w:t>чебник: в 2 ч.:</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Особенная часть</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D79E3">
        <w:rPr>
          <w:rFonts w:ascii="Times New Roman" w:hAnsi="Times New Roman" w:cs="Times New Roman"/>
          <w:sz w:val="28"/>
          <w:szCs w:val="28"/>
          <w:lang w:val="kk-KZ"/>
        </w:rPr>
        <w:t>М.,</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2013.</w:t>
      </w:r>
      <w:r w:rsidRPr="00AB4709">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sidRPr="00AB4709">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Разд. II</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 407</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с.</w:t>
      </w:r>
    </w:p>
    <w:p w:rsidR="00C27F0E" w:rsidRPr="006207C4" w:rsidRDefault="00C27F0E" w:rsidP="00C27F0E">
      <w:pPr>
        <w:pStyle w:val="a5"/>
        <w:numPr>
          <w:ilvl w:val="0"/>
          <w:numId w:val="1"/>
        </w:numPr>
        <w:spacing w:after="0" w:line="240" w:lineRule="auto"/>
        <w:ind w:left="0" w:firstLine="709"/>
        <w:jc w:val="both"/>
        <w:rPr>
          <w:rFonts w:ascii="Times New Roman" w:hAnsi="Times New Roman" w:cs="Times New Roman"/>
          <w:sz w:val="28"/>
          <w:szCs w:val="28"/>
          <w:lang w:val="kk-KZ"/>
        </w:rPr>
      </w:pPr>
      <w:r w:rsidRPr="006207C4">
        <w:rPr>
          <w:rFonts w:ascii="Times New Roman" w:hAnsi="Times New Roman" w:cs="Times New Roman"/>
          <w:sz w:val="28"/>
          <w:szCs w:val="28"/>
          <w:lang w:val="kk-KZ"/>
        </w:rPr>
        <w:t>Ильина О.Ю. Баланс частного и публичного интереса при судебном рассмотрении дел о расторжении брака</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Современное право.</w:t>
      </w:r>
      <w:r w:rsidRPr="000F5ABC">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2014.</w:t>
      </w:r>
      <w:r w:rsidRPr="000F5ABC">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8.</w:t>
      </w:r>
      <w:r w:rsidRPr="000F5ABC">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r w:rsidRPr="006207C4">
        <w:rPr>
          <w:rFonts w:ascii="Times New Roman" w:hAnsi="Times New Roman" w:cs="Times New Roman"/>
          <w:sz w:val="28"/>
          <w:szCs w:val="28"/>
          <w:lang w:val="kk-KZ"/>
        </w:rPr>
        <w:t>29</w:t>
      </w:r>
      <w:r>
        <w:rPr>
          <w:rFonts w:ascii="Times New Roman" w:hAnsi="Times New Roman" w:cs="Times New Roman"/>
          <w:sz w:val="28"/>
          <w:szCs w:val="28"/>
          <w:lang w:val="kk-KZ"/>
        </w:rPr>
        <w:t>-35</w:t>
      </w:r>
    </w:p>
    <w:p w:rsidR="007A7E6C" w:rsidRPr="00C27F0E" w:rsidRDefault="007A7E6C">
      <w:pPr>
        <w:rPr>
          <w:lang w:val="kk-KZ"/>
        </w:rPr>
      </w:pPr>
    </w:p>
    <w:sectPr w:rsidR="007A7E6C" w:rsidRPr="00C2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524B"/>
    <w:multiLevelType w:val="hybridMultilevel"/>
    <w:tmpl w:val="8D5C9EE8"/>
    <w:lvl w:ilvl="0" w:tplc="FC68BE1C">
      <w:start w:val="1"/>
      <w:numFmt w:val="decimal"/>
      <w:lvlText w:val="%1"/>
      <w:lvlJc w:val="left"/>
      <w:pPr>
        <w:ind w:left="1429" w:hanging="360"/>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D5"/>
    <w:rsid w:val="000249D5"/>
    <w:rsid w:val="001750A9"/>
    <w:rsid w:val="007A7E6C"/>
    <w:rsid w:val="007E7C79"/>
    <w:rsid w:val="00C2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D76A"/>
  <w15:chartTrackingRefBased/>
  <w15:docId w15:val="{C648FFE7-BD24-46BE-AE6F-07B934EF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0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750A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27F0E"/>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3</cp:revision>
  <dcterms:created xsi:type="dcterms:W3CDTF">2018-01-04T10:37:00Z</dcterms:created>
  <dcterms:modified xsi:type="dcterms:W3CDTF">2018-01-04T10:48:00Z</dcterms:modified>
</cp:coreProperties>
</file>