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C7" w:rsidRDefault="00291B04" w:rsidP="00291B0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91B04">
        <w:rPr>
          <w:rFonts w:cs="Times New Roman"/>
          <w:sz w:val="28"/>
          <w:szCs w:val="28"/>
        </w:rPr>
        <w:t>Диссертация_</w:t>
      </w:r>
      <w:r w:rsidRPr="00291B0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91B04">
        <w:rPr>
          <w:rFonts w:eastAsia="Times New Roman" w:cs="Times New Roman"/>
          <w:b/>
          <w:sz w:val="28"/>
          <w:szCs w:val="28"/>
          <w:lang w:eastAsia="ru-RU"/>
        </w:rPr>
        <w:t>Совершенствование учета и аудита в секторе государственного управления</w:t>
      </w:r>
    </w:p>
    <w:p w:rsidR="00291B04" w:rsidRDefault="00291B04" w:rsidP="00291B0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Стр_81</w:t>
      </w:r>
    </w:p>
    <w:p w:rsidR="00291B04" w:rsidRDefault="00291B04" w:rsidP="00291B0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Учет и аудит</w:t>
      </w:r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84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85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>1 Теоретические аспекты организации учета и аудита в секторе государственного управления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86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>1.1 Специфика деятельности предприятий сектора государственного управления и ее влияние на организацию бухгалтерского учета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87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>1.2 Нормативно-правовое регулирование учета и аудита в секторе государственного управления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88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>1.3 Общие принципы и методологические подходы к проведению аудита в секторе государственного управления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89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 xml:space="preserve">2 Анализ действующей практики учета в секторе государственного управления (на примере </w:t>
        </w:r>
      </w:hyperlink>
      <w:r>
        <w:rPr>
          <w:noProof/>
          <w:sz w:val="28"/>
          <w:szCs w:val="28"/>
        </w:rPr>
        <w:t>)</w:t>
      </w:r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90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 xml:space="preserve">2.1 Характеристика деятельности ГУ 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91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>2.2 Анализ финансово-хозяйственной деятельности учреждения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92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 xml:space="preserve">2.3 Анализ организации учета в ГУ 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93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 xml:space="preserve">3 Мероприятия по совершенствованию учета и аудита в ГУ 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94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 xml:space="preserve">3.1 Порядок организации проведения и анализ результатов аудита в ГУ 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95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 xml:space="preserve">3.2 Рекомендации по развитию системы учета в ГУ 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96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>3.3 Пути совершенствования системы внутреннего аудита в ГУ</w:t>
        </w:r>
      </w:hyperlink>
    </w:p>
    <w:p w:rsidR="00291B04" w:rsidRPr="00291B04" w:rsidRDefault="00291B04" w:rsidP="00291B04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0297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291B04" w:rsidRDefault="00291B04" w:rsidP="00291B04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04550298" w:history="1">
        <w:r w:rsidRPr="00291B04">
          <w:rPr>
            <w:rStyle w:val="a3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Pr="009771DE" w:rsidRDefault="00291B04" w:rsidP="00291B04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04550297"/>
      <w:r w:rsidRPr="009771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291B04" w:rsidRPr="009771DE" w:rsidRDefault="00291B04" w:rsidP="00291B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91B04" w:rsidRPr="009771DE" w:rsidRDefault="00291B04" w:rsidP="00291B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771DE">
        <w:rPr>
          <w:rFonts w:eastAsia="Times New Roman"/>
          <w:sz w:val="28"/>
          <w:szCs w:val="28"/>
          <w:lang w:eastAsia="ru-RU"/>
        </w:rPr>
        <w:t>Проведенное в рамках данной работы исследование позволило сделать следующие выводы.</w:t>
      </w:r>
    </w:p>
    <w:p w:rsidR="00291B04" w:rsidRDefault="00291B04" w:rsidP="00291B0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771DE">
        <w:rPr>
          <w:rFonts w:eastAsia="Times New Roman"/>
          <w:sz w:val="28"/>
          <w:szCs w:val="28"/>
          <w:lang w:eastAsia="ru-RU"/>
        </w:rPr>
        <w:t xml:space="preserve">Бухгалтерский учет в бюджетных учреждениях - один из важнейших отраслевых учетов в Казахстане. </w:t>
      </w:r>
      <w:r w:rsidRPr="00A470E9">
        <w:rPr>
          <w:rFonts w:eastAsia="Times New Roman"/>
          <w:sz w:val="28"/>
          <w:szCs w:val="28"/>
          <w:lang w:eastAsia="ru-RU"/>
        </w:rPr>
        <w:t xml:space="preserve">Бухгалтерский учет в бюджетных учреждениях является составляющей учета в государственном секторе </w:t>
      </w:r>
      <w:r>
        <w:rPr>
          <w:rFonts w:eastAsia="Times New Roman"/>
          <w:sz w:val="28"/>
          <w:szCs w:val="28"/>
          <w:lang w:eastAsia="ru-RU"/>
        </w:rPr>
        <w:t>Казахстана</w:t>
      </w:r>
      <w:r w:rsidRPr="00A470E9">
        <w:rPr>
          <w:rFonts w:eastAsia="Times New Roman"/>
          <w:sz w:val="28"/>
          <w:szCs w:val="28"/>
          <w:lang w:eastAsia="ru-RU"/>
        </w:rPr>
        <w:t xml:space="preserve">. Как система контроля </w:t>
      </w:r>
      <w:r>
        <w:rPr>
          <w:rFonts w:eastAsia="Times New Roman"/>
          <w:sz w:val="28"/>
          <w:szCs w:val="28"/>
          <w:lang w:eastAsia="ru-RU"/>
        </w:rPr>
        <w:t>он в</w:t>
      </w:r>
      <w:r w:rsidRPr="00A470E9">
        <w:rPr>
          <w:rFonts w:eastAsia="Times New Roman"/>
          <w:sz w:val="28"/>
          <w:szCs w:val="28"/>
          <w:lang w:eastAsia="ru-RU"/>
        </w:rPr>
        <w:t xml:space="preserve">ыполняет свои конкретные задачи, имеет специфические объекты, ведется </w:t>
      </w:r>
      <w:proofErr w:type="gramStart"/>
      <w:r w:rsidRPr="00A470E9">
        <w:rPr>
          <w:rFonts w:eastAsia="Times New Roman"/>
          <w:sz w:val="28"/>
          <w:szCs w:val="28"/>
          <w:lang w:eastAsia="ru-RU"/>
        </w:rPr>
        <w:t>по отдельным планом счетов</w:t>
      </w:r>
      <w:proofErr w:type="gramEnd"/>
      <w:r w:rsidRPr="00A470E9">
        <w:rPr>
          <w:rFonts w:eastAsia="Times New Roman"/>
          <w:sz w:val="28"/>
          <w:szCs w:val="28"/>
          <w:lang w:eastAsia="ru-RU"/>
        </w:rPr>
        <w:t xml:space="preserve"> на балансе, который отличается от баланса коммерческих предприятий, что влияет на методику организации бухгалтерского учета, обеспечивающего своевременное, полное и достоверное отражение всех операций по исполнению смет и определения результатов их выполнения по общему и специальному фондам, а также обобщение учетной информации в отчетности.</w:t>
      </w: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Default="00291B04" w:rsidP="00291B04">
      <w:pPr>
        <w:rPr>
          <w:lang w:eastAsia="ru-RU"/>
        </w:rPr>
      </w:pPr>
    </w:p>
    <w:p w:rsidR="00291B04" w:rsidRPr="006E0664" w:rsidRDefault="00291B04" w:rsidP="00291B04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104550298"/>
      <w:r w:rsidRPr="006E0664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  <w:bookmarkEnd w:id="1"/>
    </w:p>
    <w:p w:rsidR="00291B04" w:rsidRPr="00DF45DC" w:rsidRDefault="00291B04" w:rsidP="00291B04">
      <w:pPr>
        <w:rPr>
          <w:rFonts w:cs="Times New Roman"/>
          <w:sz w:val="28"/>
          <w:szCs w:val="28"/>
        </w:rPr>
      </w:pPr>
    </w:p>
    <w:p w:rsidR="00291B04" w:rsidRPr="00DF45DC" w:rsidRDefault="00291B04" w:rsidP="00291B04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DF45DC">
        <w:rPr>
          <w:rFonts w:cs="Times New Roman"/>
          <w:sz w:val="28"/>
          <w:szCs w:val="28"/>
        </w:rPr>
        <w:t xml:space="preserve">Анализ применения международных стандартов финансовой отчетности в организациях здравоохранения Республики Казахстан и их государственный аудит / А. Т. </w:t>
      </w:r>
      <w:proofErr w:type="spellStart"/>
      <w:r w:rsidRPr="00DF45DC">
        <w:rPr>
          <w:rFonts w:cs="Times New Roman"/>
          <w:sz w:val="28"/>
          <w:szCs w:val="28"/>
        </w:rPr>
        <w:t>Бектурова</w:t>
      </w:r>
      <w:proofErr w:type="spellEnd"/>
      <w:r w:rsidRPr="00DF45DC">
        <w:rPr>
          <w:rFonts w:cs="Times New Roman"/>
          <w:sz w:val="28"/>
          <w:szCs w:val="28"/>
        </w:rPr>
        <w:t xml:space="preserve">, Н. В. </w:t>
      </w:r>
      <w:proofErr w:type="spellStart"/>
      <w:r w:rsidRPr="00DF45DC">
        <w:rPr>
          <w:rFonts w:cs="Times New Roman"/>
          <w:sz w:val="28"/>
          <w:szCs w:val="28"/>
        </w:rPr>
        <w:t>Зубарь</w:t>
      </w:r>
      <w:proofErr w:type="spellEnd"/>
      <w:r w:rsidRPr="00DF45DC">
        <w:rPr>
          <w:rFonts w:cs="Times New Roman"/>
          <w:sz w:val="28"/>
          <w:szCs w:val="28"/>
        </w:rPr>
        <w:t xml:space="preserve">, Л. М. </w:t>
      </w:r>
      <w:proofErr w:type="spellStart"/>
      <w:r w:rsidRPr="00DF45DC">
        <w:rPr>
          <w:rFonts w:cs="Times New Roman"/>
          <w:sz w:val="28"/>
          <w:szCs w:val="28"/>
        </w:rPr>
        <w:t>Сембиева</w:t>
      </w:r>
      <w:proofErr w:type="spellEnd"/>
      <w:r w:rsidRPr="00DF45DC">
        <w:rPr>
          <w:rFonts w:cs="Times New Roman"/>
          <w:sz w:val="28"/>
          <w:szCs w:val="28"/>
        </w:rPr>
        <w:t>, А. М. Петров // Бухгалтерский учет и анализ. – 2021. – № 12(300). – С. 30-39.</w:t>
      </w:r>
    </w:p>
    <w:p w:rsidR="00291B04" w:rsidRPr="00DF45DC" w:rsidRDefault="00291B04" w:rsidP="00291B04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DF45DC">
        <w:rPr>
          <w:rFonts w:cs="Times New Roman"/>
          <w:sz w:val="28"/>
          <w:szCs w:val="28"/>
        </w:rPr>
        <w:t>Усабаев</w:t>
      </w:r>
      <w:proofErr w:type="spellEnd"/>
      <w:r w:rsidRPr="00DF45DC">
        <w:rPr>
          <w:rFonts w:cs="Times New Roman"/>
          <w:sz w:val="28"/>
          <w:szCs w:val="28"/>
        </w:rPr>
        <w:t xml:space="preserve">, А. К. Методологические аспекты учета и оценки активов и обязательств субъектов государственного сектора в Республике Казахстан / А. К. </w:t>
      </w:r>
      <w:proofErr w:type="spellStart"/>
      <w:r w:rsidRPr="00DF45DC">
        <w:rPr>
          <w:rFonts w:cs="Times New Roman"/>
          <w:sz w:val="28"/>
          <w:szCs w:val="28"/>
        </w:rPr>
        <w:t>Усабаев</w:t>
      </w:r>
      <w:proofErr w:type="spellEnd"/>
      <w:r w:rsidRPr="00DF45DC">
        <w:rPr>
          <w:rFonts w:cs="Times New Roman"/>
          <w:sz w:val="28"/>
          <w:szCs w:val="28"/>
        </w:rPr>
        <w:t xml:space="preserve">, Д. К. </w:t>
      </w:r>
      <w:proofErr w:type="spellStart"/>
      <w:r w:rsidRPr="00DF45DC">
        <w:rPr>
          <w:rFonts w:cs="Times New Roman"/>
          <w:sz w:val="28"/>
          <w:szCs w:val="28"/>
        </w:rPr>
        <w:t>Усабаев</w:t>
      </w:r>
      <w:proofErr w:type="spellEnd"/>
      <w:r w:rsidRPr="00DF45DC">
        <w:rPr>
          <w:rFonts w:cs="Times New Roman"/>
          <w:sz w:val="28"/>
          <w:szCs w:val="28"/>
        </w:rPr>
        <w:t xml:space="preserve"> // Статистика, учет и аудит. – 2020. – № 2(77). – С. 68-71.</w:t>
      </w:r>
    </w:p>
    <w:p w:rsidR="00291B04" w:rsidRPr="00DF45DC" w:rsidRDefault="00291B04" w:rsidP="00291B04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DF45DC">
        <w:rPr>
          <w:rFonts w:cs="Times New Roman"/>
          <w:sz w:val="28"/>
          <w:szCs w:val="28"/>
        </w:rPr>
        <w:t>Оразбекулы</w:t>
      </w:r>
      <w:proofErr w:type="spellEnd"/>
      <w:r w:rsidRPr="00DF45DC">
        <w:rPr>
          <w:rFonts w:cs="Times New Roman"/>
          <w:sz w:val="28"/>
          <w:szCs w:val="28"/>
        </w:rPr>
        <w:t xml:space="preserve">, Б. Ведение бухгалтерского учета и составление финансовой отчетности государственных учреждений в Казахстане / Б. </w:t>
      </w:r>
      <w:proofErr w:type="spellStart"/>
      <w:r w:rsidRPr="00DF45DC">
        <w:rPr>
          <w:rFonts w:cs="Times New Roman"/>
          <w:sz w:val="28"/>
          <w:szCs w:val="28"/>
        </w:rPr>
        <w:t>Оразбекулы</w:t>
      </w:r>
      <w:proofErr w:type="spellEnd"/>
      <w:r w:rsidRPr="00DF45DC">
        <w:rPr>
          <w:rFonts w:cs="Times New Roman"/>
          <w:sz w:val="28"/>
          <w:szCs w:val="28"/>
        </w:rPr>
        <w:t xml:space="preserve">, М. В. Ким // Молодой ученый. – 2014. – № 7. – С. 391-393. </w:t>
      </w:r>
    </w:p>
    <w:p w:rsidR="00291B04" w:rsidRPr="00DF45DC" w:rsidRDefault="00291B04" w:rsidP="00291B04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DF45DC">
        <w:rPr>
          <w:rFonts w:cs="Times New Roman"/>
          <w:sz w:val="28"/>
          <w:szCs w:val="28"/>
        </w:rPr>
        <w:t>Конысбаева</w:t>
      </w:r>
      <w:proofErr w:type="spellEnd"/>
      <w:r w:rsidRPr="00DF45DC">
        <w:rPr>
          <w:rFonts w:cs="Times New Roman"/>
          <w:sz w:val="28"/>
          <w:szCs w:val="28"/>
        </w:rPr>
        <w:t xml:space="preserve">, Г. Б. Формирование системы бухгалтерского учета в государственных учреждениях Республики Казахстан и пути ее совершенствования / Г. Б. </w:t>
      </w:r>
      <w:proofErr w:type="spellStart"/>
      <w:r w:rsidRPr="00DF45DC">
        <w:rPr>
          <w:rFonts w:cs="Times New Roman"/>
          <w:sz w:val="28"/>
          <w:szCs w:val="28"/>
        </w:rPr>
        <w:t>Конысбаева</w:t>
      </w:r>
      <w:proofErr w:type="spellEnd"/>
      <w:r w:rsidRPr="00DF45DC">
        <w:rPr>
          <w:rFonts w:cs="Times New Roman"/>
          <w:sz w:val="28"/>
          <w:szCs w:val="28"/>
        </w:rPr>
        <w:t xml:space="preserve">, А. Р. </w:t>
      </w:r>
      <w:proofErr w:type="spellStart"/>
      <w:r w:rsidRPr="00DF45DC">
        <w:rPr>
          <w:rFonts w:cs="Times New Roman"/>
          <w:sz w:val="28"/>
          <w:szCs w:val="28"/>
        </w:rPr>
        <w:t>Кереева</w:t>
      </w:r>
      <w:proofErr w:type="spellEnd"/>
      <w:r w:rsidRPr="00DF45DC">
        <w:rPr>
          <w:rFonts w:cs="Times New Roman"/>
          <w:sz w:val="28"/>
          <w:szCs w:val="28"/>
        </w:rPr>
        <w:t xml:space="preserve"> // Новая наука как результат инновационного развития </w:t>
      </w:r>
      <w:proofErr w:type="gramStart"/>
      <w:r w:rsidRPr="00DF45DC">
        <w:rPr>
          <w:rFonts w:cs="Times New Roman"/>
          <w:sz w:val="28"/>
          <w:szCs w:val="28"/>
        </w:rPr>
        <w:t>общества :</w:t>
      </w:r>
      <w:proofErr w:type="gramEnd"/>
      <w:r w:rsidRPr="00DF45DC">
        <w:rPr>
          <w:rFonts w:cs="Times New Roman"/>
          <w:sz w:val="28"/>
          <w:szCs w:val="28"/>
        </w:rPr>
        <w:t xml:space="preserve"> сборник статей Международной научно-практической конференции. – Сургут: ООО "Агентство международных исследований", 2017. – С. 136-138. </w:t>
      </w:r>
    </w:p>
    <w:p w:rsidR="00291B04" w:rsidRPr="00DF45DC" w:rsidRDefault="00291B04" w:rsidP="00291B04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DF45DC">
        <w:rPr>
          <w:rFonts w:cs="Times New Roman"/>
          <w:sz w:val="28"/>
          <w:szCs w:val="28"/>
        </w:rPr>
        <w:t>Садиева</w:t>
      </w:r>
      <w:proofErr w:type="spellEnd"/>
      <w:r w:rsidRPr="00DF45DC">
        <w:rPr>
          <w:rFonts w:cs="Times New Roman"/>
          <w:sz w:val="28"/>
          <w:szCs w:val="28"/>
        </w:rPr>
        <w:t xml:space="preserve">, А. Вопросы развития учета и аудита в госучреждениях Республики Казахстан / А. </w:t>
      </w:r>
      <w:proofErr w:type="spellStart"/>
      <w:r w:rsidRPr="00DF45DC">
        <w:rPr>
          <w:rFonts w:cs="Times New Roman"/>
          <w:sz w:val="28"/>
          <w:szCs w:val="28"/>
        </w:rPr>
        <w:t>Садиева</w:t>
      </w:r>
      <w:proofErr w:type="spellEnd"/>
      <w:r w:rsidRPr="00DF45DC">
        <w:rPr>
          <w:rFonts w:cs="Times New Roman"/>
          <w:sz w:val="28"/>
          <w:szCs w:val="28"/>
        </w:rPr>
        <w:t xml:space="preserve">, Л. </w:t>
      </w:r>
      <w:proofErr w:type="spellStart"/>
      <w:r w:rsidRPr="00DF45DC">
        <w:rPr>
          <w:rFonts w:cs="Times New Roman"/>
          <w:sz w:val="28"/>
          <w:szCs w:val="28"/>
        </w:rPr>
        <w:t>Айтхожина</w:t>
      </w:r>
      <w:proofErr w:type="spellEnd"/>
      <w:r w:rsidRPr="00DF45DC">
        <w:rPr>
          <w:rFonts w:cs="Times New Roman"/>
          <w:sz w:val="28"/>
          <w:szCs w:val="28"/>
        </w:rPr>
        <w:t xml:space="preserve">, З. М. </w:t>
      </w:r>
      <w:proofErr w:type="spellStart"/>
      <w:r w:rsidRPr="00DF45DC">
        <w:rPr>
          <w:rFonts w:cs="Times New Roman"/>
          <w:sz w:val="28"/>
          <w:szCs w:val="28"/>
        </w:rPr>
        <w:t>Сакенова</w:t>
      </w:r>
      <w:proofErr w:type="spellEnd"/>
      <w:r w:rsidRPr="00DF45DC">
        <w:rPr>
          <w:rFonts w:cs="Times New Roman"/>
          <w:sz w:val="28"/>
          <w:szCs w:val="28"/>
        </w:rPr>
        <w:t xml:space="preserve"> // Известия Иссык-Кульского форума бухгалтеров и аудиторов стран Центральной Азии. – 2014. – № 2-1(5). – С. 111-116. </w:t>
      </w:r>
    </w:p>
    <w:p w:rsidR="00291B04" w:rsidRPr="00291B04" w:rsidRDefault="00291B04" w:rsidP="00291B04">
      <w:pPr>
        <w:rPr>
          <w:lang w:eastAsia="ru-RU"/>
        </w:rPr>
      </w:pPr>
      <w:bookmarkStart w:id="2" w:name="_GoBack"/>
      <w:bookmarkEnd w:id="2"/>
    </w:p>
    <w:p w:rsidR="00291B04" w:rsidRPr="00291B04" w:rsidRDefault="00291B04" w:rsidP="00291B04">
      <w:pPr>
        <w:rPr>
          <w:rFonts w:cs="Times New Roman"/>
          <w:sz w:val="28"/>
          <w:szCs w:val="28"/>
        </w:rPr>
      </w:pPr>
    </w:p>
    <w:sectPr w:rsidR="00291B04" w:rsidRPr="0029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075B"/>
    <w:multiLevelType w:val="hybridMultilevel"/>
    <w:tmpl w:val="E6E8D094"/>
    <w:lvl w:ilvl="0" w:tplc="446AE9A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37"/>
    <w:rsid w:val="00030137"/>
    <w:rsid w:val="00291B04"/>
    <w:rsid w:val="005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882E"/>
  <w15:chartTrackingRefBased/>
  <w15:docId w15:val="{20D01811-483C-41FB-A743-11AE1B6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04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91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91B04"/>
    <w:pPr>
      <w:spacing w:after="10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2023-01-10T07:28:00Z</dcterms:created>
  <dcterms:modified xsi:type="dcterms:W3CDTF">2023-01-10T07:31:00Z</dcterms:modified>
</cp:coreProperties>
</file>