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EC" w:rsidRDefault="000E42EC" w:rsidP="000E42EC">
      <w:pPr>
        <w:pStyle w:val="a3"/>
        <w:spacing w:before="0"/>
        <w:jc w:val="center"/>
        <w:rPr>
          <w:rFonts w:ascii="Times New Roman" w:eastAsiaTheme="minorHAnsi" w:hAnsi="Times New Roman" w:cs="Times New Roman"/>
          <w:b w:val="0"/>
          <w:bCs w:val="0"/>
          <w:color w:val="auto"/>
        </w:rPr>
      </w:pPr>
      <w:r w:rsidRPr="000E42EC">
        <w:rPr>
          <w:rFonts w:ascii="Times New Roman" w:eastAsiaTheme="minorHAnsi" w:hAnsi="Times New Roman" w:cs="Times New Roman"/>
          <w:b w:val="0"/>
          <w:bCs w:val="0"/>
          <w:color w:val="auto"/>
        </w:rPr>
        <w:t xml:space="preserve">Диссертация </w:t>
      </w:r>
      <w:r>
        <w:rPr>
          <w:rFonts w:ascii="Times New Roman" w:eastAsiaTheme="minorHAnsi" w:hAnsi="Times New Roman" w:cs="Times New Roman"/>
          <w:b w:val="0"/>
          <w:bCs w:val="0"/>
          <w:color w:val="auto"/>
        </w:rPr>
        <w:t>_</w:t>
      </w:r>
      <w:r w:rsidRPr="000E42EC">
        <w:rPr>
          <w:rFonts w:ascii="Times New Roman" w:eastAsiaTheme="minorHAnsi" w:hAnsi="Times New Roman" w:cs="Times New Roman"/>
          <w:b w:val="0"/>
          <w:bCs w:val="0"/>
          <w:color w:val="auto"/>
        </w:rPr>
        <w:t>Теория</w:t>
      </w:r>
      <w:r w:rsidRPr="000E42EC">
        <w:rPr>
          <w:rFonts w:ascii="Times New Roman" w:eastAsiaTheme="minorHAnsi" w:hAnsi="Times New Roman" w:cs="Times New Roman"/>
          <w:b w:val="0"/>
          <w:bCs w:val="0"/>
          <w:color w:val="auto"/>
        </w:rPr>
        <w:t xml:space="preserve"> и методология учета долгосрочных активов</w:t>
      </w:r>
    </w:p>
    <w:p w:rsidR="000E42EC" w:rsidRPr="000E42EC" w:rsidRDefault="000E42EC" w:rsidP="000E42EC">
      <w:pPr>
        <w:jc w:val="center"/>
        <w:rPr>
          <w:rFonts w:ascii="Times New Roman" w:hAnsi="Times New Roman" w:cs="Times New Roman"/>
          <w:sz w:val="28"/>
          <w:szCs w:val="28"/>
        </w:rPr>
      </w:pPr>
      <w:r w:rsidRPr="000E42EC">
        <w:rPr>
          <w:rFonts w:ascii="Times New Roman" w:hAnsi="Times New Roman" w:cs="Times New Roman"/>
          <w:sz w:val="28"/>
          <w:szCs w:val="28"/>
        </w:rPr>
        <w:t>Стр_80</w:t>
      </w:r>
    </w:p>
    <w:p w:rsidR="000E42EC" w:rsidRDefault="000E42EC" w:rsidP="000E42EC"/>
    <w:sdt>
      <w:sdtPr>
        <w:rPr>
          <w:rFonts w:asciiTheme="minorHAnsi" w:eastAsiaTheme="minorHAnsi" w:hAnsiTheme="minorHAnsi" w:cstheme="minorBidi"/>
          <w:b w:val="0"/>
          <w:bCs w:val="0"/>
          <w:color w:val="auto"/>
          <w:sz w:val="22"/>
          <w:szCs w:val="22"/>
        </w:rPr>
        <w:id w:val="10389961"/>
        <w:docPartObj>
          <w:docPartGallery w:val="Table of Contents"/>
          <w:docPartUnique/>
        </w:docPartObj>
      </w:sdtPr>
      <w:sdtContent>
        <w:p w:rsidR="000E42EC" w:rsidRDefault="000E42EC" w:rsidP="000E42EC">
          <w:pPr>
            <w:pStyle w:val="a3"/>
            <w:spacing w:before="0"/>
            <w:jc w:val="center"/>
            <w:rPr>
              <w:rFonts w:ascii="Times New Roman" w:hAnsi="Times New Roman" w:cs="Times New Roman"/>
              <w:b w:val="0"/>
              <w:color w:val="auto"/>
            </w:rPr>
          </w:pPr>
          <w:r w:rsidRPr="00C45D71">
            <w:rPr>
              <w:rFonts w:ascii="Times New Roman" w:hAnsi="Times New Roman" w:cs="Times New Roman"/>
              <w:b w:val="0"/>
              <w:color w:val="auto"/>
            </w:rPr>
            <w:t>СОДЕРЖАНИЕ</w:t>
          </w:r>
        </w:p>
        <w:p w:rsidR="000E42EC" w:rsidRPr="00C45D71" w:rsidRDefault="000E42EC" w:rsidP="000E42EC">
          <w:pPr>
            <w:spacing w:after="0" w:line="240" w:lineRule="auto"/>
            <w:ind w:firstLine="567"/>
            <w:jc w:val="both"/>
            <w:rPr>
              <w:rFonts w:ascii="Times New Roman" w:hAnsi="Times New Roman" w:cs="Times New Roman"/>
              <w:sz w:val="28"/>
            </w:rPr>
          </w:pPr>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r w:rsidRPr="00C45D71">
            <w:rPr>
              <w:rFonts w:ascii="Times New Roman" w:hAnsi="Times New Roman" w:cs="Times New Roman"/>
              <w:sz w:val="28"/>
            </w:rPr>
            <w:fldChar w:fldCharType="begin"/>
          </w:r>
          <w:r w:rsidRPr="00C45D71">
            <w:rPr>
              <w:rFonts w:ascii="Times New Roman" w:hAnsi="Times New Roman" w:cs="Times New Roman"/>
              <w:sz w:val="28"/>
            </w:rPr>
            <w:instrText xml:space="preserve"> TOC \o "1-3" \h \z \u </w:instrText>
          </w:r>
          <w:r w:rsidRPr="00C45D71">
            <w:rPr>
              <w:rFonts w:ascii="Times New Roman" w:hAnsi="Times New Roman" w:cs="Times New Roman"/>
              <w:sz w:val="28"/>
            </w:rPr>
            <w:fldChar w:fldCharType="separate"/>
          </w:r>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195" w:history="1">
            <w:r w:rsidRPr="00C45D71">
              <w:rPr>
                <w:rStyle w:val="a4"/>
                <w:rFonts w:ascii="Times New Roman" w:hAnsi="Times New Roman" w:cs="Times New Roman"/>
                <w:noProof/>
                <w:sz w:val="28"/>
              </w:rPr>
              <w:t>ВВЕДЕНИЕ</w:t>
            </w:r>
          </w:hyperlink>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196" w:history="1">
            <w:r w:rsidRPr="00C45D71">
              <w:rPr>
                <w:rStyle w:val="a4"/>
                <w:rFonts w:ascii="Times New Roman" w:hAnsi="Times New Roman" w:cs="Times New Roman"/>
                <w:noProof/>
                <w:sz w:val="28"/>
              </w:rPr>
              <w:t>ГЛАВА 1. ЭКОНОМИЧЕСКОЕ СОДЕРЖАНИЕ И МЕТОДЫ ОЦЕНКИ ДОЛГОСРОЧНЫХ АКТИВОВ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197" w:history="1">
            <w:r w:rsidRPr="00C45D71">
              <w:rPr>
                <w:rStyle w:val="a4"/>
                <w:rFonts w:ascii="Times New Roman" w:hAnsi="Times New Roman" w:cs="Times New Roman"/>
                <w:noProof/>
                <w:sz w:val="28"/>
              </w:rPr>
              <w:t>1.1 Сущностные и классификационные характеристики долгосрочных активов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199" w:history="1">
            <w:r w:rsidRPr="00C45D71">
              <w:rPr>
                <w:rStyle w:val="a4"/>
                <w:rFonts w:ascii="Times New Roman" w:hAnsi="Times New Roman" w:cs="Times New Roman"/>
                <w:noProof/>
                <w:sz w:val="28"/>
              </w:rPr>
              <w:t>1.2 Виды и методы оценки долгосрочных активов</w:t>
            </w:r>
          </w:hyperlink>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200" w:history="1">
            <w:r w:rsidRPr="00C45D71">
              <w:rPr>
                <w:rStyle w:val="a4"/>
                <w:rFonts w:ascii="Times New Roman" w:hAnsi="Times New Roman" w:cs="Times New Roman"/>
                <w:noProof/>
                <w:sz w:val="28"/>
              </w:rPr>
              <w:t>ГЛАВА 2 СОСТОЯНИЕ БУХГАЛТЕРСКОГО УЧЕТА ДОЛГОСРОЧНЫХ АКТИВОВ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201" w:history="1">
            <w:r w:rsidRPr="00C45D71">
              <w:rPr>
                <w:rStyle w:val="a4"/>
                <w:rFonts w:ascii="Times New Roman" w:hAnsi="Times New Roman" w:cs="Times New Roman"/>
                <w:noProof/>
                <w:sz w:val="28"/>
              </w:rPr>
              <w:t>2.2 Особенности учета земельных ресурсов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202" w:history="1">
            <w:r w:rsidRPr="00C45D71">
              <w:rPr>
                <w:rStyle w:val="a4"/>
                <w:rFonts w:ascii="Times New Roman" w:hAnsi="Times New Roman" w:cs="Times New Roman"/>
                <w:noProof/>
                <w:sz w:val="28"/>
              </w:rPr>
              <w:t>2.3 Методология учета амортизации долгосрочных  материальных активов в соответствии с МСФО 16 «Основные средства»</w:t>
            </w:r>
          </w:hyperlink>
          <w:r w:rsidRPr="00C45D71">
            <w:rPr>
              <w:rFonts w:ascii="Times New Roman" w:eastAsiaTheme="minorEastAsia" w:hAnsi="Times New Roman" w:cs="Times New Roman"/>
              <w:noProof/>
              <w:sz w:val="28"/>
              <w:lang w:eastAsia="ru-RU"/>
            </w:rPr>
            <w:t xml:space="preserve"> </w:t>
          </w:r>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203" w:history="1">
            <w:r w:rsidRPr="00C45D71">
              <w:rPr>
                <w:rStyle w:val="a4"/>
                <w:rFonts w:ascii="Times New Roman" w:hAnsi="Times New Roman" w:cs="Times New Roman"/>
                <w:noProof/>
                <w:sz w:val="28"/>
              </w:rPr>
              <w:t>2.4 Методология бухгалтерского учета операций по аренде долгосрочных материальных активов</w:t>
            </w:r>
          </w:hyperlink>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204" w:history="1">
            <w:r w:rsidRPr="00C45D71">
              <w:rPr>
                <w:rStyle w:val="a4"/>
                <w:rFonts w:ascii="Times New Roman" w:eastAsia="Times New Roman" w:hAnsi="Times New Roman" w:cs="Times New Roman"/>
                <w:noProof/>
                <w:sz w:val="28"/>
              </w:rPr>
              <w:t>ГЛАВА 3. ОСОБЕННОСТИ НАЛОГООБЛОЖЕНИЯ ДОЛГОСРОЧНЫХ АКТИВОВ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205" w:history="1">
            <w:r w:rsidRPr="00C45D71">
              <w:rPr>
                <w:rStyle w:val="a4"/>
                <w:rFonts w:ascii="Times New Roman" w:eastAsia="Times New Roman" w:hAnsi="Times New Roman" w:cs="Times New Roman"/>
                <w:noProof/>
                <w:sz w:val="28"/>
              </w:rPr>
              <w:t>3.1 Особенности ведения налогового учета долгосрочных материальных активов</w:t>
            </w:r>
          </w:hyperlink>
        </w:p>
        <w:p w:rsidR="000E42EC" w:rsidRPr="00C45D71" w:rsidRDefault="000E42EC" w:rsidP="000E42EC">
          <w:pPr>
            <w:pStyle w:val="2"/>
            <w:tabs>
              <w:tab w:val="right" w:leader="dot" w:pos="9628"/>
            </w:tabs>
            <w:spacing w:after="0" w:line="240" w:lineRule="auto"/>
            <w:ind w:left="0" w:firstLine="567"/>
            <w:jc w:val="both"/>
            <w:rPr>
              <w:rFonts w:ascii="Times New Roman" w:eastAsiaTheme="minorEastAsia" w:hAnsi="Times New Roman" w:cs="Times New Roman"/>
              <w:noProof/>
              <w:sz w:val="28"/>
              <w:lang w:eastAsia="ru-RU"/>
            </w:rPr>
          </w:pPr>
          <w:hyperlink w:anchor="_Toc476229206" w:history="1">
            <w:r w:rsidRPr="00C45D71">
              <w:rPr>
                <w:rStyle w:val="a4"/>
                <w:rFonts w:ascii="Times New Roman" w:hAnsi="Times New Roman" w:cs="Times New Roman"/>
                <w:noProof/>
                <w:sz w:val="28"/>
              </w:rPr>
              <w:t>3.2 Налоговый учет амортизации долгосрочных материальных активов и учет вычетов по фиксированным активам</w:t>
            </w:r>
          </w:hyperlink>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207" w:history="1">
            <w:r w:rsidRPr="00C45D71">
              <w:rPr>
                <w:rStyle w:val="a4"/>
                <w:rFonts w:ascii="Times New Roman" w:hAnsi="Times New Roman" w:cs="Times New Roman"/>
                <w:noProof/>
                <w:sz w:val="28"/>
              </w:rPr>
              <w:t>ЗАКЛЮЧЕНИЕ</w:t>
            </w:r>
          </w:hyperlink>
        </w:p>
        <w:p w:rsidR="000E42EC" w:rsidRPr="00C45D71" w:rsidRDefault="000E42EC" w:rsidP="000E42EC">
          <w:pPr>
            <w:pStyle w:val="11"/>
            <w:tabs>
              <w:tab w:val="right" w:leader="dot" w:pos="9628"/>
            </w:tabs>
            <w:spacing w:after="0" w:line="240" w:lineRule="auto"/>
            <w:ind w:firstLine="567"/>
            <w:jc w:val="both"/>
            <w:rPr>
              <w:rFonts w:ascii="Times New Roman" w:eastAsiaTheme="minorEastAsia" w:hAnsi="Times New Roman" w:cs="Times New Roman"/>
              <w:noProof/>
              <w:sz w:val="28"/>
              <w:lang w:eastAsia="ru-RU"/>
            </w:rPr>
          </w:pPr>
          <w:hyperlink w:anchor="_Toc476229208" w:history="1">
            <w:r w:rsidRPr="00C45D71">
              <w:rPr>
                <w:rStyle w:val="a4"/>
                <w:rFonts w:ascii="Times New Roman" w:hAnsi="Times New Roman" w:cs="Times New Roman"/>
                <w:noProof/>
                <w:sz w:val="28"/>
              </w:rPr>
              <w:t>СПИСОК ИСПОЛЬЗОВАННОЙ ЛИТЕРАТУРЫ</w:t>
            </w:r>
          </w:hyperlink>
        </w:p>
        <w:p w:rsidR="000E42EC" w:rsidRDefault="000E42EC" w:rsidP="000E42EC">
          <w:pPr>
            <w:spacing w:after="0" w:line="240" w:lineRule="auto"/>
            <w:ind w:firstLine="567"/>
            <w:jc w:val="both"/>
          </w:pPr>
          <w:r w:rsidRPr="00C45D71">
            <w:rPr>
              <w:rFonts w:ascii="Times New Roman" w:hAnsi="Times New Roman" w:cs="Times New Roman"/>
              <w:sz w:val="28"/>
            </w:rPr>
            <w:fldChar w:fldCharType="end"/>
          </w:r>
        </w:p>
      </w:sdtContent>
    </w:sdt>
    <w:p w:rsidR="000E42EC" w:rsidRPr="000E42EC" w:rsidRDefault="000E42EC" w:rsidP="000E42EC"/>
    <w:p w:rsidR="000E42EC" w:rsidRDefault="000E42EC">
      <w:r>
        <w:br w:type="page"/>
      </w:r>
    </w:p>
    <w:p w:rsidR="000E42EC" w:rsidRPr="00897263" w:rsidRDefault="000E42EC" w:rsidP="000E42EC">
      <w:pPr>
        <w:pStyle w:val="1"/>
        <w:spacing w:before="0"/>
        <w:jc w:val="center"/>
        <w:rPr>
          <w:rFonts w:ascii="Times New Roman" w:hAnsi="Times New Roman" w:cs="Times New Roman"/>
          <w:b/>
          <w:color w:val="auto"/>
        </w:rPr>
      </w:pPr>
      <w:bookmarkStart w:id="0" w:name="_Toc476229109"/>
      <w:bookmarkStart w:id="1" w:name="_Toc476229207"/>
      <w:r w:rsidRPr="00897263">
        <w:rPr>
          <w:rFonts w:ascii="Times New Roman" w:hAnsi="Times New Roman" w:cs="Times New Roman"/>
          <w:color w:val="auto"/>
        </w:rPr>
        <w:lastRenderedPageBreak/>
        <w:t>ЗАКЛЮЧЕНИЕ</w:t>
      </w:r>
      <w:bookmarkEnd w:id="0"/>
      <w:bookmarkEnd w:id="1"/>
    </w:p>
    <w:p w:rsidR="000E42EC" w:rsidRDefault="000E42EC" w:rsidP="000E42EC">
      <w:pPr>
        <w:widowControl w:val="0"/>
        <w:spacing w:after="0" w:line="240" w:lineRule="auto"/>
        <w:ind w:firstLine="567"/>
        <w:jc w:val="both"/>
        <w:rPr>
          <w:rFonts w:ascii="Times New Roman" w:hAnsi="Times New Roman"/>
          <w:sz w:val="28"/>
          <w:szCs w:val="28"/>
        </w:rPr>
      </w:pPr>
    </w:p>
    <w:p w:rsidR="000E42EC" w:rsidRDefault="000E42EC" w:rsidP="000E42EC">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исследования теории и методологии учета долгосрочных активов Республики Казахстан автором исследования сделаны следующие выводы:</w:t>
      </w:r>
    </w:p>
    <w:p w:rsidR="000E42EC" w:rsidRPr="00505CCC" w:rsidRDefault="000E42EC" w:rsidP="000E42EC">
      <w:pPr>
        <w:pStyle w:val="j12"/>
        <w:widowControl w:val="0"/>
        <w:spacing w:before="0" w:beforeAutospacing="0" w:after="0" w:afterAutospacing="0"/>
        <w:ind w:firstLine="567"/>
        <w:jc w:val="both"/>
        <w:rPr>
          <w:sz w:val="28"/>
        </w:rPr>
      </w:pPr>
      <w:r w:rsidRPr="00505CCC">
        <w:rPr>
          <w:rStyle w:val="s0"/>
          <w:rFonts w:eastAsiaTheme="majorEastAsia"/>
          <w:sz w:val="28"/>
        </w:rPr>
        <w:t>В настоящее время в Казахстане используют две основных модели учета долгосрочных материальных активов:</w:t>
      </w:r>
    </w:p>
    <w:p w:rsidR="000E42EC" w:rsidRPr="00613C3A" w:rsidRDefault="000E42EC" w:rsidP="000E42EC">
      <w:pPr>
        <w:pStyle w:val="a5"/>
        <w:shd w:val="clear" w:color="auto" w:fill="FFFFFF"/>
        <w:spacing w:before="0" w:beforeAutospacing="0" w:after="0" w:afterAutospacing="0"/>
        <w:ind w:firstLine="567"/>
        <w:jc w:val="both"/>
        <w:rPr>
          <w:color w:val="000000"/>
          <w:sz w:val="28"/>
          <w:szCs w:val="28"/>
        </w:rPr>
      </w:pPr>
      <w:r w:rsidRPr="00505CCC">
        <w:rPr>
          <w:rStyle w:val="s0"/>
          <w:rFonts w:eastAsiaTheme="majorEastAsia"/>
          <w:sz w:val="28"/>
        </w:rPr>
        <w:t xml:space="preserve">1) </w:t>
      </w:r>
      <w:r w:rsidRPr="00613C3A">
        <w:rPr>
          <w:color w:val="000000"/>
          <w:sz w:val="28"/>
          <w:szCs w:val="28"/>
        </w:rPr>
        <w:t>Среди учетных проблем, выдвинутых практикой перехода отечественной</w:t>
      </w:r>
      <w:r w:rsidRPr="00613C3A">
        <w:rPr>
          <w:rStyle w:val="apple-converted-space"/>
          <w:rFonts w:eastAsia="Arial Unicode MS"/>
          <w:i/>
          <w:iCs/>
          <w:color w:val="000000"/>
          <w:sz w:val="28"/>
          <w:szCs w:val="28"/>
        </w:rPr>
        <w:t> </w:t>
      </w:r>
      <w:r w:rsidRPr="00613C3A">
        <w:rPr>
          <w:color w:val="000000"/>
          <w:sz w:val="28"/>
          <w:szCs w:val="28"/>
        </w:rPr>
        <w:t>экономики на рыночные отношения, является проблема бухгалтерского учета земельных участков и прав на них как объектов учета долгосрочных материальных активов. В современном</w:t>
      </w:r>
      <w:r w:rsidRPr="00613C3A">
        <w:rPr>
          <w:rStyle w:val="apple-converted-space"/>
          <w:rFonts w:eastAsia="Arial Unicode MS"/>
          <w:i/>
          <w:iCs/>
          <w:color w:val="000000"/>
          <w:sz w:val="28"/>
          <w:szCs w:val="28"/>
        </w:rPr>
        <w:t> </w:t>
      </w:r>
      <w:r w:rsidRPr="00613C3A">
        <w:rPr>
          <w:color w:val="000000"/>
          <w:sz w:val="28"/>
          <w:szCs w:val="28"/>
        </w:rPr>
        <w:t>бухгалтерском учете вопросы учета земельных участков являются наименее методологически разработанными. Отечественная система бухгалтерского учета до настоящего времени практически полностью игнорировала земельные участки как экономическую категорию, имеющую стоимостную оценку. Новые экономические отношения предопределили необходимость исследования проблем бухгалтерского учета земельных участков и изучения трудов тех экономистов, во времена которых учет земель включался в общую систему бухгалтерского учета.</w:t>
      </w:r>
    </w:p>
    <w:p w:rsidR="000E42EC" w:rsidRDefault="000E42EC">
      <w:r>
        <w:br w:type="page"/>
      </w:r>
    </w:p>
    <w:p w:rsidR="000E42EC" w:rsidRDefault="000E42EC" w:rsidP="000E42EC">
      <w:pPr>
        <w:pStyle w:val="1"/>
        <w:spacing w:before="0"/>
        <w:jc w:val="center"/>
        <w:rPr>
          <w:rFonts w:ascii="Times New Roman" w:hAnsi="Times New Roman" w:cs="Times New Roman"/>
          <w:b/>
          <w:color w:val="auto"/>
        </w:rPr>
      </w:pPr>
      <w:bookmarkStart w:id="2" w:name="_Toc476229110"/>
      <w:bookmarkStart w:id="3" w:name="_Toc476229208"/>
      <w:r w:rsidRPr="005F3A21">
        <w:rPr>
          <w:rFonts w:ascii="Times New Roman" w:hAnsi="Times New Roman" w:cs="Times New Roman"/>
          <w:color w:val="auto"/>
        </w:rPr>
        <w:lastRenderedPageBreak/>
        <w:t>СПИСОК ИСПОЛЬЗОВАННОЙ ЛИТЕРАТУРЫ</w:t>
      </w:r>
      <w:bookmarkEnd w:id="2"/>
      <w:bookmarkEnd w:id="3"/>
    </w:p>
    <w:p w:rsidR="000E42EC" w:rsidRDefault="000E42EC" w:rsidP="000E42EC"/>
    <w:p w:rsidR="000E42EC" w:rsidRPr="00AC1039" w:rsidRDefault="000E42EC" w:rsidP="000E42EC">
      <w:pPr>
        <w:widowControl w:val="0"/>
        <w:spacing w:after="0" w:line="240" w:lineRule="auto"/>
        <w:ind w:firstLine="567"/>
        <w:jc w:val="both"/>
        <w:rPr>
          <w:rFonts w:ascii="Times New Roman" w:hAnsi="Times New Roman" w:cs="Times New Roman"/>
          <w:sz w:val="28"/>
          <w:szCs w:val="28"/>
        </w:rPr>
      </w:pPr>
      <w:r w:rsidRPr="00AC1039">
        <w:rPr>
          <w:rFonts w:ascii="Times New Roman" w:hAnsi="Times New Roman" w:cs="Times New Roman"/>
          <w:sz w:val="28"/>
          <w:szCs w:val="28"/>
        </w:rPr>
        <w:t xml:space="preserve">1 </w:t>
      </w:r>
      <w:proofErr w:type="spellStart"/>
      <w:r w:rsidRPr="00AC1039">
        <w:rPr>
          <w:rFonts w:ascii="Times New Roman" w:hAnsi="Times New Roman" w:cs="Times New Roman"/>
          <w:sz w:val="28"/>
          <w:szCs w:val="28"/>
        </w:rPr>
        <w:t>Абдыманапов</w:t>
      </w:r>
      <w:proofErr w:type="spellEnd"/>
      <w:r w:rsidRPr="00AC1039">
        <w:rPr>
          <w:rFonts w:ascii="Times New Roman" w:hAnsi="Times New Roman" w:cs="Times New Roman"/>
          <w:sz w:val="28"/>
          <w:szCs w:val="28"/>
        </w:rPr>
        <w:t xml:space="preserve"> А.А. Концептуальные основы и принципы бухгалтерского учета: Учебное пособие – Алматы 2013. - 234с.;</w:t>
      </w:r>
    </w:p>
    <w:p w:rsidR="000E42EC" w:rsidRPr="005D171D" w:rsidRDefault="000E42EC" w:rsidP="000E42EC">
      <w:pPr>
        <w:widowControl w:val="0"/>
        <w:spacing w:after="0" w:line="240" w:lineRule="auto"/>
        <w:ind w:firstLine="567"/>
        <w:jc w:val="both"/>
        <w:rPr>
          <w:rFonts w:ascii="Times New Roman" w:hAnsi="Times New Roman" w:cs="Times New Roman"/>
          <w:sz w:val="28"/>
          <w:szCs w:val="28"/>
        </w:rPr>
      </w:pPr>
      <w:r w:rsidRPr="005D171D">
        <w:rPr>
          <w:rFonts w:ascii="Times New Roman" w:hAnsi="Times New Roman" w:cs="Times New Roman"/>
          <w:sz w:val="28"/>
          <w:szCs w:val="28"/>
        </w:rPr>
        <w:t xml:space="preserve">2 </w:t>
      </w:r>
      <w:proofErr w:type="spellStart"/>
      <w:r w:rsidRPr="005D171D">
        <w:rPr>
          <w:rFonts w:ascii="Times New Roman" w:hAnsi="Times New Roman" w:cs="Times New Roman"/>
          <w:sz w:val="28"/>
          <w:szCs w:val="28"/>
        </w:rPr>
        <w:t>Радостовец</w:t>
      </w:r>
      <w:proofErr w:type="spellEnd"/>
      <w:r w:rsidRPr="005D171D">
        <w:rPr>
          <w:rFonts w:ascii="Times New Roman" w:hAnsi="Times New Roman" w:cs="Times New Roman"/>
          <w:sz w:val="28"/>
          <w:szCs w:val="28"/>
        </w:rPr>
        <w:t xml:space="preserve"> В.К. </w:t>
      </w:r>
      <w:proofErr w:type="spellStart"/>
      <w:r w:rsidRPr="005D171D">
        <w:rPr>
          <w:rFonts w:ascii="Times New Roman" w:hAnsi="Times New Roman" w:cs="Times New Roman"/>
          <w:sz w:val="28"/>
          <w:szCs w:val="28"/>
        </w:rPr>
        <w:t>Радостовец</w:t>
      </w:r>
      <w:proofErr w:type="spellEnd"/>
      <w:r w:rsidRPr="005D171D">
        <w:rPr>
          <w:rFonts w:ascii="Times New Roman" w:hAnsi="Times New Roman" w:cs="Times New Roman"/>
          <w:sz w:val="28"/>
          <w:szCs w:val="28"/>
        </w:rPr>
        <w:t xml:space="preserve"> В.В. Шмидт О.И.  Бухгалтерский учет на </w:t>
      </w:r>
      <w:proofErr w:type="gramStart"/>
      <w:r w:rsidRPr="005D171D">
        <w:rPr>
          <w:rFonts w:ascii="Times New Roman" w:hAnsi="Times New Roman" w:cs="Times New Roman"/>
          <w:sz w:val="28"/>
          <w:szCs w:val="28"/>
        </w:rPr>
        <w:t>предприятии:  изд.</w:t>
      </w:r>
      <w:proofErr w:type="gramEnd"/>
      <w:r w:rsidRPr="005D171D">
        <w:rPr>
          <w:rFonts w:ascii="Times New Roman" w:hAnsi="Times New Roman" w:cs="Times New Roman"/>
          <w:sz w:val="28"/>
          <w:szCs w:val="28"/>
        </w:rPr>
        <w:t xml:space="preserve"> 2 доп. и </w:t>
      </w:r>
      <w:proofErr w:type="spellStart"/>
      <w:r w:rsidRPr="005D171D">
        <w:rPr>
          <w:rFonts w:ascii="Times New Roman" w:hAnsi="Times New Roman" w:cs="Times New Roman"/>
          <w:sz w:val="28"/>
          <w:szCs w:val="28"/>
        </w:rPr>
        <w:t>перераб</w:t>
      </w:r>
      <w:proofErr w:type="spellEnd"/>
      <w:r w:rsidRPr="005D171D">
        <w:rPr>
          <w:rFonts w:ascii="Times New Roman" w:hAnsi="Times New Roman" w:cs="Times New Roman"/>
          <w:sz w:val="28"/>
          <w:szCs w:val="28"/>
        </w:rPr>
        <w:t xml:space="preserve">.- Алматы: </w:t>
      </w:r>
      <w:proofErr w:type="spellStart"/>
      <w:r w:rsidRPr="005D171D">
        <w:rPr>
          <w:rFonts w:ascii="Times New Roman" w:hAnsi="Times New Roman" w:cs="Times New Roman"/>
          <w:sz w:val="28"/>
          <w:szCs w:val="28"/>
        </w:rPr>
        <w:t>Центраудит</w:t>
      </w:r>
      <w:proofErr w:type="spellEnd"/>
      <w:r w:rsidRPr="005D171D">
        <w:rPr>
          <w:rFonts w:ascii="Times New Roman" w:hAnsi="Times New Roman" w:cs="Times New Roman"/>
          <w:sz w:val="28"/>
          <w:szCs w:val="28"/>
        </w:rPr>
        <w:t>- Казахстан, 2008.- 771 с.;</w:t>
      </w:r>
    </w:p>
    <w:p w:rsidR="000E42EC" w:rsidRPr="005D171D" w:rsidRDefault="000E42EC" w:rsidP="000E42EC">
      <w:pPr>
        <w:widowControl w:val="0"/>
        <w:spacing w:after="0" w:line="240" w:lineRule="auto"/>
        <w:ind w:firstLine="567"/>
        <w:jc w:val="both"/>
        <w:rPr>
          <w:rFonts w:ascii="Times New Roman" w:hAnsi="Times New Roman" w:cs="Times New Roman"/>
          <w:sz w:val="28"/>
          <w:szCs w:val="28"/>
        </w:rPr>
      </w:pPr>
      <w:r w:rsidRPr="005D171D">
        <w:rPr>
          <w:rFonts w:ascii="Times New Roman" w:hAnsi="Times New Roman" w:cs="Times New Roman"/>
          <w:sz w:val="28"/>
          <w:szCs w:val="28"/>
        </w:rPr>
        <w:t xml:space="preserve">3 </w:t>
      </w:r>
      <w:proofErr w:type="spellStart"/>
      <w:r w:rsidRPr="005D171D">
        <w:rPr>
          <w:rFonts w:ascii="Times New Roman" w:hAnsi="Times New Roman" w:cs="Times New Roman"/>
          <w:sz w:val="28"/>
          <w:szCs w:val="28"/>
        </w:rPr>
        <w:t>Салина</w:t>
      </w:r>
      <w:proofErr w:type="spellEnd"/>
      <w:r w:rsidRPr="005D171D">
        <w:rPr>
          <w:rFonts w:ascii="Times New Roman" w:hAnsi="Times New Roman" w:cs="Times New Roman"/>
          <w:sz w:val="28"/>
          <w:szCs w:val="28"/>
        </w:rPr>
        <w:t xml:space="preserve"> А.П. Принципы бухгалтерского учета: Учебное пособие. – Алматы: "Экономика", 2003. – 370 с.;</w:t>
      </w:r>
    </w:p>
    <w:p w:rsidR="000E42EC" w:rsidRPr="005D171D" w:rsidRDefault="000E42EC" w:rsidP="000E42EC">
      <w:pPr>
        <w:widowControl w:val="0"/>
        <w:spacing w:after="0" w:line="240" w:lineRule="auto"/>
        <w:ind w:firstLine="567"/>
        <w:jc w:val="both"/>
        <w:rPr>
          <w:rFonts w:ascii="Times New Roman" w:hAnsi="Times New Roman" w:cs="Times New Roman"/>
          <w:sz w:val="28"/>
          <w:szCs w:val="28"/>
        </w:rPr>
      </w:pPr>
      <w:r w:rsidRPr="005D171D">
        <w:rPr>
          <w:rFonts w:ascii="Times New Roman" w:hAnsi="Times New Roman" w:cs="Times New Roman"/>
          <w:sz w:val="28"/>
          <w:szCs w:val="28"/>
        </w:rPr>
        <w:t>4 Попова Л.А. Бухгалтерский учет: финансовый аспект. Учебное пособие. – Караганда, 2009. – 257 с.;</w:t>
      </w:r>
    </w:p>
    <w:p w:rsidR="000E42EC" w:rsidRPr="005D171D" w:rsidRDefault="000E42EC" w:rsidP="000E42EC">
      <w:pPr>
        <w:widowControl w:val="0"/>
        <w:spacing w:after="0" w:line="240" w:lineRule="auto"/>
        <w:ind w:firstLine="567"/>
        <w:jc w:val="both"/>
        <w:rPr>
          <w:rFonts w:ascii="Times New Roman" w:hAnsi="Times New Roman" w:cs="Times New Roman"/>
          <w:sz w:val="28"/>
          <w:szCs w:val="28"/>
        </w:rPr>
      </w:pPr>
      <w:r w:rsidRPr="005D171D">
        <w:rPr>
          <w:rFonts w:ascii="Times New Roman" w:hAnsi="Times New Roman" w:cs="Times New Roman"/>
          <w:sz w:val="28"/>
          <w:szCs w:val="28"/>
        </w:rPr>
        <w:t xml:space="preserve">5 </w:t>
      </w:r>
      <w:proofErr w:type="spellStart"/>
      <w:r w:rsidRPr="005D171D">
        <w:rPr>
          <w:rFonts w:ascii="Times New Roman" w:hAnsi="Times New Roman" w:cs="Times New Roman"/>
          <w:sz w:val="28"/>
          <w:szCs w:val="28"/>
        </w:rPr>
        <w:t>Радостовец</w:t>
      </w:r>
      <w:proofErr w:type="spellEnd"/>
      <w:r w:rsidRPr="005D171D">
        <w:rPr>
          <w:rFonts w:ascii="Times New Roman" w:hAnsi="Times New Roman" w:cs="Times New Roman"/>
          <w:sz w:val="28"/>
          <w:szCs w:val="28"/>
        </w:rPr>
        <w:t xml:space="preserve"> В.К. Финансовый и управленческий учет на предприятии – Алматы: НАН "</w:t>
      </w:r>
      <w:proofErr w:type="spellStart"/>
      <w:r w:rsidRPr="005D171D">
        <w:rPr>
          <w:rFonts w:ascii="Times New Roman" w:hAnsi="Times New Roman" w:cs="Times New Roman"/>
          <w:sz w:val="28"/>
          <w:szCs w:val="28"/>
        </w:rPr>
        <w:t>Центраудит</w:t>
      </w:r>
      <w:proofErr w:type="spellEnd"/>
      <w:r w:rsidRPr="005D171D">
        <w:rPr>
          <w:rFonts w:ascii="Times New Roman" w:hAnsi="Times New Roman" w:cs="Times New Roman"/>
          <w:sz w:val="28"/>
          <w:szCs w:val="28"/>
        </w:rPr>
        <w:t xml:space="preserve">", </w:t>
      </w:r>
      <w:proofErr w:type="gramStart"/>
      <w:r w:rsidRPr="005D171D">
        <w:rPr>
          <w:rFonts w:ascii="Times New Roman" w:hAnsi="Times New Roman" w:cs="Times New Roman"/>
          <w:sz w:val="28"/>
          <w:szCs w:val="28"/>
        </w:rPr>
        <w:t>2007.-</w:t>
      </w:r>
      <w:proofErr w:type="gramEnd"/>
      <w:r w:rsidRPr="005D171D">
        <w:rPr>
          <w:rFonts w:ascii="Times New Roman" w:hAnsi="Times New Roman" w:cs="Times New Roman"/>
          <w:sz w:val="28"/>
          <w:szCs w:val="28"/>
        </w:rPr>
        <w:t xml:space="preserve"> с.311;</w:t>
      </w:r>
    </w:p>
    <w:p w:rsidR="00C54A9B" w:rsidRDefault="00C54A9B">
      <w:bookmarkStart w:id="4" w:name="_GoBack"/>
      <w:bookmarkEnd w:id="4"/>
    </w:p>
    <w:sectPr w:rsidR="00C54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B7"/>
    <w:rsid w:val="000E42EC"/>
    <w:rsid w:val="00C54A9B"/>
    <w:rsid w:val="00E3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9F0C"/>
  <w15:chartTrackingRefBased/>
  <w15:docId w15:val="{F5BB4664-73F9-49F2-B837-C458233B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2E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0E42EC"/>
    <w:pPr>
      <w:spacing w:before="480" w:line="276" w:lineRule="auto"/>
      <w:outlineLvl w:val="9"/>
    </w:pPr>
    <w:rPr>
      <w:b/>
      <w:bCs/>
      <w:sz w:val="28"/>
      <w:szCs w:val="28"/>
    </w:rPr>
  </w:style>
  <w:style w:type="character" w:styleId="a4">
    <w:name w:val="Hyperlink"/>
    <w:basedOn w:val="a0"/>
    <w:uiPriority w:val="99"/>
    <w:unhideWhenUsed/>
    <w:rsid w:val="000E42EC"/>
    <w:rPr>
      <w:color w:val="0000FF"/>
      <w:u w:val="single"/>
    </w:rPr>
  </w:style>
  <w:style w:type="paragraph" w:styleId="11">
    <w:name w:val="toc 1"/>
    <w:basedOn w:val="a"/>
    <w:next w:val="a"/>
    <w:autoRedefine/>
    <w:uiPriority w:val="39"/>
    <w:unhideWhenUsed/>
    <w:rsid w:val="000E42EC"/>
    <w:pPr>
      <w:spacing w:after="100" w:line="276" w:lineRule="auto"/>
    </w:pPr>
  </w:style>
  <w:style w:type="paragraph" w:styleId="2">
    <w:name w:val="toc 2"/>
    <w:basedOn w:val="a"/>
    <w:next w:val="a"/>
    <w:autoRedefine/>
    <w:uiPriority w:val="39"/>
    <w:unhideWhenUsed/>
    <w:rsid w:val="000E42EC"/>
    <w:pPr>
      <w:spacing w:after="100" w:line="276" w:lineRule="auto"/>
      <w:ind w:left="220"/>
    </w:pPr>
  </w:style>
  <w:style w:type="paragraph" w:styleId="a5">
    <w:name w:val="Normal (Web)"/>
    <w:basedOn w:val="a"/>
    <w:uiPriority w:val="99"/>
    <w:unhideWhenUsed/>
    <w:rsid w:val="000E4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0E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E42EC"/>
  </w:style>
  <w:style w:type="character" w:customStyle="1" w:styleId="apple-converted-space">
    <w:name w:val="apple-converted-space"/>
    <w:basedOn w:val="a0"/>
    <w:rsid w:val="000E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2513</Characters>
  <Application>Microsoft Office Word</Application>
  <DocSecurity>0</DocSecurity>
  <Lines>20</Lines>
  <Paragraphs>5</Paragraphs>
  <ScaleCrop>false</ScaleCrop>
  <Company>SPecialiST RePack</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2018-03-05T06:00:00Z</dcterms:created>
  <dcterms:modified xsi:type="dcterms:W3CDTF">2018-03-05T06:02:00Z</dcterms:modified>
</cp:coreProperties>
</file>