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CA" w:rsidRDefault="00ED6ECA" w:rsidP="00ED6ECA">
      <w:pPr>
        <w:shd w:val="clear" w:color="auto" w:fill="FFFFFF"/>
        <w:tabs>
          <w:tab w:val="left" w:pos="142"/>
        </w:tabs>
        <w:ind w:firstLine="709"/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proofErr w:type="spellStart"/>
      <w:r>
        <w:t>Диссер</w:t>
      </w:r>
      <w:proofErr w:type="spellEnd"/>
      <w:r>
        <w:t>_</w:t>
      </w:r>
      <w:r w:rsidRPr="00ED6ECA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1C7971">
        <w:rPr>
          <w:rFonts w:eastAsia="Times New Roman" w:cs="Times New Roman"/>
          <w:b/>
          <w:snapToGrid w:val="0"/>
          <w:sz w:val="28"/>
          <w:szCs w:val="28"/>
          <w:lang w:eastAsia="ru-RU"/>
        </w:rPr>
        <w:t>УПРАВЛЕНИЕ РИСКАМИ В СФЕРЕ ТУРИЗМА</w:t>
      </w: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b/>
          <w:snapToGrid w:val="0"/>
          <w:sz w:val="28"/>
          <w:szCs w:val="28"/>
          <w:lang w:eastAsia="ru-RU"/>
        </w:rPr>
        <w:t>Стр_56</w:t>
      </w: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1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ВВЕДЕНИЕ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2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 xml:space="preserve">1 </w:t>
        </w:r>
        <w:r w:rsidRPr="00ED6ECA">
          <w:rPr>
            <w:rStyle w:val="a3"/>
            <w:rFonts w:eastAsia="Arial Unicode MS" w:cs="Times New Roman"/>
            <w:b/>
            <w:iCs/>
            <w:caps/>
            <w:noProof/>
            <w:color w:val="auto"/>
            <w:kern w:val="2"/>
            <w:sz w:val="28"/>
            <w:szCs w:val="28"/>
            <w:u w:val="none"/>
            <w:lang w:eastAsia="ar-SA"/>
          </w:rPr>
          <w:t>Теоретические аспекты</w:t>
        </w:r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 xml:space="preserve"> УПРАВЛЕНИЯ РИСКАМИ В СФЕРЕ ТУРИЗМА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3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1.1 Сущность и содержание риска, его причины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4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1.2 Классификация рисков туристского предприятия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5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1.3 Методы и способы управления рисками в сфере туризма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6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 xml:space="preserve">2 АНАЛИЗ ОСОБЕННОСТЕЙ УПРАВЛЕНИЯ РИСКАМИ В СФЕРЕ ТУРИЗМА РЕСПУБЛИКИ КАЗАХСТАН НА ПРИМЕРЕ ТОО 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7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2.1 Общая характеристика деятельности туристической компании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8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2.2 Оценка основных рисков, влияющих на деятельность туристической компании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79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2.3 Оценка результативности действующей системы управления рисками в турфирме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80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3 СОВЕРШЕНСТВОВАНИЕ СИСТЕМЫ УПРАВЛЕНИЯ РИСКАМИ В СФЕРЕ ТУРИЗМА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81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3.1 Использование возможностей цифровизации управления рисками в сфере туризма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82" w:history="1">
        <w:r w:rsidRPr="00ED6ECA">
          <w:rPr>
            <w:rStyle w:val="a3"/>
            <w:rFonts w:eastAsia="Arial Unicode MS" w:cs="Times New Roman"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3.2 Внедрение новых методов управления рисками в сфере туризма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83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ЗАКЛЮЧЕНИЕ</w:t>
        </w:r>
      </w:hyperlink>
    </w:p>
    <w:p w:rsidR="00ED6ECA" w:rsidRPr="00ED6ECA" w:rsidRDefault="00ED6ECA" w:rsidP="00ED6ECA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3978684" w:history="1">
        <w:r w:rsidRPr="00ED6ECA">
          <w:rPr>
            <w:rStyle w:val="a3"/>
            <w:rFonts w:eastAsia="Arial Unicode MS" w:cs="Times New Roman"/>
            <w:b/>
            <w:iCs/>
            <w:noProof/>
            <w:color w:val="auto"/>
            <w:kern w:val="2"/>
            <w:sz w:val="28"/>
            <w:szCs w:val="28"/>
            <w:u w:val="none"/>
            <w:lang w:eastAsia="ar-SA"/>
          </w:rPr>
          <w:t>СПИСОК ИСПОЛЬЗОВАННЫХ ИСТОЧНИКОВ</w:t>
        </w:r>
      </w:hyperlink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pStyle w:val="1"/>
        <w:ind w:firstLine="709"/>
        <w:jc w:val="both"/>
        <w:rPr>
          <w:rFonts w:eastAsia="Arial Unicode MS" w:cs="Times New Roman"/>
          <w:b/>
          <w:iCs/>
          <w:kern w:val="2"/>
          <w:szCs w:val="28"/>
          <w:lang w:eastAsia="ar-SA"/>
        </w:rPr>
      </w:pPr>
      <w:bookmarkStart w:id="0" w:name="_Toc103978683"/>
      <w:r w:rsidRPr="001C7971">
        <w:rPr>
          <w:rFonts w:eastAsia="Arial Unicode MS" w:cs="Times New Roman"/>
          <w:b/>
          <w:iCs/>
          <w:kern w:val="2"/>
          <w:szCs w:val="28"/>
          <w:lang w:eastAsia="ar-SA"/>
        </w:rPr>
        <w:lastRenderedPageBreak/>
        <w:t>ЗАКЛЮЧЕНИЕ</w:t>
      </w:r>
      <w:bookmarkEnd w:id="0"/>
      <w:r w:rsidRPr="001C7971">
        <w:rPr>
          <w:rFonts w:eastAsia="Arial Unicode MS" w:cs="Times New Roman"/>
          <w:b/>
          <w:iCs/>
          <w:kern w:val="2"/>
          <w:szCs w:val="28"/>
          <w:lang w:eastAsia="ar-SA"/>
        </w:rPr>
        <w:t xml:space="preserve"> </w:t>
      </w:r>
    </w:p>
    <w:p w:rsidR="00ED6ECA" w:rsidRPr="00A7308E" w:rsidRDefault="00ED6ECA" w:rsidP="00ED6ECA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6ECA" w:rsidRDefault="00ED6ECA" w:rsidP="00ED6ECA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Проведенное в данной работе исследование позволило сделать следующие выводы:</w:t>
      </w:r>
    </w:p>
    <w:p w:rsidR="00ED6ECA" w:rsidRPr="00A7308E" w:rsidRDefault="00ED6ECA" w:rsidP="00ED6ECA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Pr="00A7308E">
        <w:rPr>
          <w:rFonts w:eastAsia="Times New Roman" w:cs="Times New Roman"/>
          <w:sz w:val="28"/>
          <w:szCs w:val="28"/>
          <w:lang w:eastAsia="ru-RU"/>
        </w:rPr>
        <w:t xml:space="preserve">определение «риск в туризме» можно представить в следующем виде: «риск в туризме </w:t>
      </w:r>
      <w:r w:rsidRPr="00A7308E">
        <w:rPr>
          <w:rFonts w:eastAsia="Times New Roman" w:cs="Times New Roman"/>
          <w:sz w:val="28"/>
          <w:szCs w:val="28"/>
          <w:lang w:eastAsia="ru-RU"/>
        </w:rPr>
        <w:sym w:font="Symbol" w:char="F02D"/>
      </w:r>
      <w:r w:rsidRPr="00A7308E">
        <w:rPr>
          <w:rFonts w:eastAsia="Times New Roman" w:cs="Times New Roman"/>
          <w:sz w:val="28"/>
          <w:szCs w:val="28"/>
          <w:lang w:eastAsia="ru-RU"/>
        </w:rPr>
        <w:t xml:space="preserve"> это вероятность возникновения неблагоприятных последствий в форме потери дохода или капитала в условиях неопределенности в результате осуществления туристским предприятием своей деятельности».</w:t>
      </w:r>
    </w:p>
    <w:p w:rsidR="00ED6ECA" w:rsidRPr="00A7308E" w:rsidRDefault="00ED6ECA" w:rsidP="00ED6ECA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</w:t>
      </w:r>
      <w:r w:rsidRPr="00A7308E">
        <w:rPr>
          <w:rFonts w:eastAsia="Times New Roman" w:cs="Times New Roman"/>
          <w:sz w:val="28"/>
          <w:szCs w:val="28"/>
          <w:lang w:eastAsia="ru-RU"/>
        </w:rPr>
        <w:t>предпринимательскую деятельность в туризме всегда сопровождает риск и неопределенность, неустойчивость экономической ситуации, постоянно действующей на спрос и предложения товаров, состоящей из множества альтернативных областей вложения капиталов и большого количества аспектов предпочтительного инвестирования активов, из недостатка знаний и навыков построения бизнеса и многих других обстоятельств.</w:t>
      </w: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:rsidR="00ED6ECA" w:rsidRPr="00FA5986" w:rsidRDefault="00ED6ECA" w:rsidP="00ED6ECA">
      <w:pPr>
        <w:pStyle w:val="1"/>
        <w:ind w:firstLine="709"/>
        <w:jc w:val="center"/>
        <w:rPr>
          <w:rFonts w:eastAsia="Arial Unicode MS" w:cs="Times New Roman"/>
          <w:b/>
          <w:iCs/>
          <w:kern w:val="2"/>
          <w:szCs w:val="28"/>
          <w:lang w:eastAsia="ar-SA"/>
        </w:rPr>
      </w:pPr>
      <w:bookmarkStart w:id="1" w:name="_Toc103978684"/>
      <w:r w:rsidRPr="00FA5986">
        <w:rPr>
          <w:rFonts w:eastAsia="Arial Unicode MS" w:cs="Times New Roman"/>
          <w:b/>
          <w:iCs/>
          <w:kern w:val="2"/>
          <w:szCs w:val="28"/>
          <w:lang w:eastAsia="ar-SA"/>
        </w:rPr>
        <w:lastRenderedPageBreak/>
        <w:t>СПИСОК ИСПОЛЬЗОВАННЫХ ИСТОЧНИКОВ</w:t>
      </w:r>
      <w:bookmarkEnd w:id="1"/>
    </w:p>
    <w:p w:rsidR="00ED6ECA" w:rsidRPr="001C7971" w:rsidRDefault="00ED6ECA" w:rsidP="00ED6ECA">
      <w:pPr>
        <w:ind w:firstLine="709"/>
        <w:jc w:val="center"/>
        <w:rPr>
          <w:rFonts w:eastAsia="Arial Unicode MS" w:cs="Times New Roman"/>
          <w:b/>
          <w:iCs/>
          <w:caps/>
          <w:kern w:val="2"/>
          <w:sz w:val="28"/>
          <w:szCs w:val="28"/>
          <w:lang w:eastAsia="ar-SA"/>
        </w:rPr>
      </w:pPr>
    </w:p>
    <w:p w:rsidR="00ED6ECA" w:rsidRPr="001C7971" w:rsidRDefault="00ED6ECA" w:rsidP="00ED6E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1C7971">
        <w:rPr>
          <w:sz w:val="28"/>
          <w:szCs w:val="28"/>
          <w:lang w:eastAsia="ar-SA"/>
        </w:rPr>
        <w:t>Воронцовский</w:t>
      </w:r>
      <w:proofErr w:type="spellEnd"/>
      <w:r w:rsidRPr="001C7971">
        <w:rPr>
          <w:sz w:val="28"/>
          <w:szCs w:val="28"/>
          <w:lang w:eastAsia="ar-SA"/>
        </w:rPr>
        <w:t xml:space="preserve">, А. В.  Управление </w:t>
      </w:r>
      <w:proofErr w:type="gramStart"/>
      <w:r w:rsidRPr="001C7971">
        <w:rPr>
          <w:sz w:val="28"/>
          <w:szCs w:val="28"/>
          <w:lang w:eastAsia="ar-SA"/>
        </w:rPr>
        <w:t>рисками :</w:t>
      </w:r>
      <w:proofErr w:type="gramEnd"/>
      <w:r w:rsidRPr="001C7971">
        <w:rPr>
          <w:sz w:val="28"/>
          <w:szCs w:val="28"/>
          <w:lang w:eastAsia="ar-SA"/>
        </w:rPr>
        <w:t xml:space="preserve"> учебник и практикум для вузов / А. В. </w:t>
      </w:r>
      <w:proofErr w:type="spellStart"/>
      <w:r w:rsidRPr="001C7971">
        <w:rPr>
          <w:sz w:val="28"/>
          <w:szCs w:val="28"/>
          <w:lang w:eastAsia="ar-SA"/>
        </w:rPr>
        <w:t>Воронцовский</w:t>
      </w:r>
      <w:proofErr w:type="spellEnd"/>
      <w:r w:rsidRPr="001C7971">
        <w:rPr>
          <w:sz w:val="28"/>
          <w:szCs w:val="28"/>
          <w:lang w:eastAsia="ar-SA"/>
        </w:rPr>
        <w:t xml:space="preserve">. — 2-е изд. — </w:t>
      </w:r>
      <w:proofErr w:type="gramStart"/>
      <w:r w:rsidRPr="001C7971">
        <w:rPr>
          <w:sz w:val="28"/>
          <w:szCs w:val="28"/>
          <w:lang w:eastAsia="ar-SA"/>
        </w:rPr>
        <w:t>Москва :</w:t>
      </w:r>
      <w:proofErr w:type="gramEnd"/>
      <w:r w:rsidRPr="001C7971">
        <w:rPr>
          <w:sz w:val="28"/>
          <w:szCs w:val="28"/>
          <w:lang w:eastAsia="ar-SA"/>
        </w:rPr>
        <w:t xml:space="preserve"> Издательство </w:t>
      </w:r>
      <w:proofErr w:type="spellStart"/>
      <w:r w:rsidRPr="001C7971">
        <w:rPr>
          <w:sz w:val="28"/>
          <w:szCs w:val="28"/>
          <w:lang w:eastAsia="ar-SA"/>
        </w:rPr>
        <w:t>Юрайт</w:t>
      </w:r>
      <w:proofErr w:type="spellEnd"/>
      <w:r w:rsidRPr="001C7971">
        <w:rPr>
          <w:sz w:val="28"/>
          <w:szCs w:val="28"/>
          <w:lang w:eastAsia="ar-SA"/>
        </w:rPr>
        <w:t xml:space="preserve">, 2022. — 485 с. </w:t>
      </w:r>
    </w:p>
    <w:p w:rsidR="00ED6ECA" w:rsidRPr="001C7971" w:rsidRDefault="00ED6ECA" w:rsidP="00ED6E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1C7971">
        <w:rPr>
          <w:sz w:val="28"/>
          <w:szCs w:val="28"/>
          <w:lang w:eastAsia="ar-SA"/>
        </w:rPr>
        <w:t>Смагулова</w:t>
      </w:r>
      <w:proofErr w:type="spellEnd"/>
      <w:r w:rsidRPr="001C7971">
        <w:rPr>
          <w:sz w:val="28"/>
          <w:szCs w:val="28"/>
          <w:lang w:eastAsia="ar-SA"/>
        </w:rPr>
        <w:t xml:space="preserve">, Р.И. Управление </w:t>
      </w:r>
      <w:proofErr w:type="gramStart"/>
      <w:r w:rsidRPr="001C7971">
        <w:rPr>
          <w:sz w:val="28"/>
          <w:szCs w:val="28"/>
          <w:lang w:eastAsia="ar-SA"/>
        </w:rPr>
        <w:t>рисками :</w:t>
      </w:r>
      <w:proofErr w:type="gramEnd"/>
      <w:r w:rsidRPr="001C7971">
        <w:rPr>
          <w:sz w:val="28"/>
          <w:szCs w:val="28"/>
          <w:lang w:eastAsia="ar-SA"/>
        </w:rPr>
        <w:t xml:space="preserve"> Учебное пособие для студентов экономических специальностей. . - Павлодар, 2017. - 96 c. </w:t>
      </w:r>
    </w:p>
    <w:p w:rsidR="00ED6ECA" w:rsidRPr="001C7971" w:rsidRDefault="00ED6ECA" w:rsidP="00ED6E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1C7971">
        <w:rPr>
          <w:sz w:val="28"/>
          <w:szCs w:val="28"/>
          <w:lang w:eastAsia="ar-SA"/>
        </w:rPr>
        <w:t>Мухамедова</w:t>
      </w:r>
      <w:proofErr w:type="spellEnd"/>
      <w:r w:rsidRPr="001C7971">
        <w:rPr>
          <w:sz w:val="28"/>
          <w:szCs w:val="28"/>
          <w:lang w:eastAsia="ar-SA"/>
        </w:rPr>
        <w:t xml:space="preserve">, М.М. Управление рисками: Учебное пособие для студентов специальности 5В050900-Финансы. / Павлодарский государственный университет им. С. </w:t>
      </w:r>
      <w:proofErr w:type="spellStart"/>
      <w:r w:rsidRPr="001C7971">
        <w:rPr>
          <w:sz w:val="28"/>
          <w:szCs w:val="28"/>
          <w:lang w:eastAsia="ar-SA"/>
        </w:rPr>
        <w:t>Торайгырова</w:t>
      </w:r>
      <w:proofErr w:type="spellEnd"/>
      <w:r w:rsidRPr="001C7971">
        <w:rPr>
          <w:sz w:val="28"/>
          <w:szCs w:val="28"/>
          <w:lang w:eastAsia="ar-SA"/>
        </w:rPr>
        <w:t xml:space="preserve">. - Павлодар: </w:t>
      </w:r>
      <w:proofErr w:type="spellStart"/>
      <w:r w:rsidRPr="001C7971">
        <w:rPr>
          <w:sz w:val="28"/>
          <w:szCs w:val="28"/>
          <w:lang w:eastAsia="ar-SA"/>
        </w:rPr>
        <w:t>Кереку</w:t>
      </w:r>
      <w:proofErr w:type="spellEnd"/>
      <w:r w:rsidRPr="001C7971">
        <w:rPr>
          <w:sz w:val="28"/>
          <w:szCs w:val="28"/>
          <w:lang w:eastAsia="ar-SA"/>
        </w:rPr>
        <w:t>, 2018. - 61c.</w:t>
      </w:r>
    </w:p>
    <w:p w:rsidR="00ED6ECA" w:rsidRDefault="00ED6ECA" w:rsidP="00ED6E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1C7971">
        <w:rPr>
          <w:sz w:val="28"/>
          <w:szCs w:val="28"/>
          <w:lang w:eastAsia="ar-SA"/>
        </w:rPr>
        <w:t>Абдрахманова</w:t>
      </w:r>
      <w:proofErr w:type="spellEnd"/>
      <w:r w:rsidRPr="001C7971">
        <w:rPr>
          <w:sz w:val="28"/>
          <w:szCs w:val="28"/>
          <w:lang w:eastAsia="ar-SA"/>
        </w:rPr>
        <w:t xml:space="preserve">, А.У. Управление рисками в предпринимательской деятельности: Учебное пособие. - Кокшетау: Изд-во КГУ им. Ш. </w:t>
      </w:r>
      <w:proofErr w:type="spellStart"/>
      <w:r w:rsidRPr="001C7971">
        <w:rPr>
          <w:sz w:val="28"/>
          <w:szCs w:val="28"/>
          <w:lang w:eastAsia="ar-SA"/>
        </w:rPr>
        <w:t>Уалиханова</w:t>
      </w:r>
      <w:proofErr w:type="spellEnd"/>
      <w:r w:rsidRPr="001C7971">
        <w:rPr>
          <w:sz w:val="28"/>
          <w:szCs w:val="28"/>
          <w:lang w:eastAsia="ar-SA"/>
        </w:rPr>
        <w:t>, 2020. - 102c.</w:t>
      </w:r>
    </w:p>
    <w:p w:rsidR="00ED6ECA" w:rsidRPr="006A7C8A" w:rsidRDefault="00ED6ECA" w:rsidP="00ED6E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6A7C8A">
        <w:rPr>
          <w:sz w:val="28"/>
          <w:szCs w:val="28"/>
          <w:lang w:eastAsia="ar-SA"/>
        </w:rPr>
        <w:t>Зобова</w:t>
      </w:r>
      <w:proofErr w:type="spellEnd"/>
      <w:r w:rsidRPr="006A7C8A">
        <w:rPr>
          <w:sz w:val="28"/>
          <w:szCs w:val="28"/>
          <w:lang w:eastAsia="ar-SA"/>
        </w:rPr>
        <w:t xml:space="preserve">, Е. В. Специфика рисков в туризме в Российской Федерации / Е. В. </w:t>
      </w:r>
      <w:proofErr w:type="spellStart"/>
      <w:r w:rsidRPr="006A7C8A">
        <w:rPr>
          <w:sz w:val="28"/>
          <w:szCs w:val="28"/>
          <w:lang w:eastAsia="ar-SA"/>
        </w:rPr>
        <w:t>Зобова</w:t>
      </w:r>
      <w:proofErr w:type="spellEnd"/>
      <w:r w:rsidRPr="006A7C8A">
        <w:rPr>
          <w:sz w:val="28"/>
          <w:szCs w:val="28"/>
          <w:lang w:eastAsia="ar-SA"/>
        </w:rPr>
        <w:t xml:space="preserve">, Л. А. Яковлева, Ю. Ю. Косенкова // Социально-экономические явления и процессы. – 2017. – Т. 12. – № 5. – С. 62-69. </w:t>
      </w:r>
    </w:p>
    <w:p w:rsidR="00ED6ECA" w:rsidRPr="001C7971" w:rsidRDefault="00ED6ECA" w:rsidP="00ED6ECA">
      <w:pPr>
        <w:shd w:val="clear" w:color="auto" w:fill="FFFFFF"/>
        <w:tabs>
          <w:tab w:val="left" w:pos="142"/>
        </w:tabs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bookmarkStart w:id="2" w:name="_GoBack"/>
      <w:bookmarkEnd w:id="2"/>
    </w:p>
    <w:p w:rsidR="006315CC" w:rsidRDefault="006315CC"/>
    <w:sectPr w:rsidR="0063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0EF0"/>
    <w:multiLevelType w:val="hybridMultilevel"/>
    <w:tmpl w:val="955EA53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CB"/>
    <w:rsid w:val="00540FCB"/>
    <w:rsid w:val="006315CC"/>
    <w:rsid w:val="00E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3C11"/>
  <w15:chartTrackingRefBased/>
  <w15:docId w15:val="{60903681-1B3E-45E5-A55B-C32B7C3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C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D6ECA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EC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D6ECA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ED6EC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List Paragraph,References,Абзац списка7,Абзац списка71,Абзац списка8,List Paragraph1,Абзац с отступом,Абзац списка1"/>
    <w:basedOn w:val="a"/>
    <w:link w:val="a5"/>
    <w:uiPriority w:val="34"/>
    <w:qFormat/>
    <w:rsid w:val="00ED6ECA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References Знак,Абзац списка7 Знак,Абзац списка71 Знак,Абзац списка8 Знак,List Paragraph1 Знак,Абзац с отступом Знак,Абзац списка1 Знак"/>
    <w:link w:val="a4"/>
    <w:uiPriority w:val="34"/>
    <w:locked/>
    <w:rsid w:val="00ED6EC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2023-01-09T08:35:00Z</dcterms:created>
  <dcterms:modified xsi:type="dcterms:W3CDTF">2023-01-09T08:38:00Z</dcterms:modified>
</cp:coreProperties>
</file>