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041BF8" w:rsidP="00041BF8">
      <w:pPr>
        <w:ind w:firstLine="708"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Мд_</w:t>
      </w:r>
      <w:r w:rsidRPr="00BE6C01">
        <w:rPr>
          <w:sz w:val="28"/>
          <w:szCs w:val="28"/>
          <w:lang w:eastAsia="ar-SA"/>
        </w:rPr>
        <w:t>Аудит</w:t>
      </w:r>
      <w:proofErr w:type="spellEnd"/>
      <w:r w:rsidRPr="00BE6C01">
        <w:rPr>
          <w:sz w:val="28"/>
          <w:szCs w:val="28"/>
          <w:lang w:eastAsia="ar-SA"/>
        </w:rPr>
        <w:t xml:space="preserve"> как механизм противодействия коррупции</w:t>
      </w:r>
    </w:p>
    <w:p w:rsidR="00041BF8" w:rsidRDefault="00041BF8" w:rsidP="00041BF8">
      <w:pPr>
        <w:ind w:firstLine="708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Стр_77</w:t>
      </w:r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r w:rsidRPr="00BE6C01">
        <w:rPr>
          <w:sz w:val="28"/>
          <w:szCs w:val="28"/>
          <w:lang w:eastAsia="ar-SA"/>
        </w:rPr>
        <w:fldChar w:fldCharType="begin"/>
      </w:r>
      <w:r w:rsidRPr="00BE6C01">
        <w:rPr>
          <w:sz w:val="28"/>
          <w:szCs w:val="28"/>
          <w:lang w:eastAsia="ar-SA"/>
        </w:rPr>
        <w:instrText xml:space="preserve"> TOC \o "1-3" \h \z \u </w:instrText>
      </w:r>
      <w:r w:rsidRPr="00BE6C01">
        <w:rPr>
          <w:sz w:val="28"/>
          <w:szCs w:val="28"/>
          <w:lang w:eastAsia="ar-SA"/>
        </w:rPr>
        <w:fldChar w:fldCharType="separate"/>
      </w:r>
      <w:hyperlink w:anchor="_Toc196566027" w:history="1">
        <w:r w:rsidRPr="00BE6C01">
          <w:rPr>
            <w:rStyle w:val="a3"/>
            <w:noProof/>
            <w:sz w:val="28"/>
            <w:szCs w:val="28"/>
            <w:lang w:eastAsia="ar-SA"/>
          </w:rPr>
          <w:t>Введение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28" w:history="1">
        <w:r w:rsidRPr="00BE6C01">
          <w:rPr>
            <w:rStyle w:val="a3"/>
            <w:noProof/>
            <w:sz w:val="28"/>
            <w:szCs w:val="28"/>
            <w:lang w:eastAsia="ar-SA"/>
          </w:rPr>
          <w:t>1 Методические аспекты аудита консолидированной отчетности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29" w:history="1">
        <w:r w:rsidRPr="00BE6C01">
          <w:rPr>
            <w:rStyle w:val="a3"/>
            <w:noProof/>
            <w:sz w:val="28"/>
            <w:szCs w:val="28"/>
            <w:lang w:eastAsia="ar-SA"/>
          </w:rPr>
          <w:t>1.1 Значение аудита как специального инструмента противодействия коррупции в обеспечении экономической безопасности организации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0" w:history="1">
        <w:r w:rsidRPr="00BE6C01">
          <w:rPr>
            <w:rStyle w:val="a3"/>
            <w:noProof/>
            <w:sz w:val="28"/>
            <w:szCs w:val="28"/>
            <w:lang w:eastAsia="ar-SA"/>
          </w:rPr>
          <w:t>1.2 Нормативное регулирование аудита в системе методов борьбы с экономической преступностью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1" w:history="1">
        <w:r w:rsidRPr="00BE6C01">
          <w:rPr>
            <w:rStyle w:val="a3"/>
            <w:noProof/>
            <w:sz w:val="28"/>
            <w:szCs w:val="28"/>
            <w:lang w:eastAsia="ar-SA"/>
          </w:rPr>
          <w:t>1.3 Организация и особенности проведения антикоррупционного аудита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2" w:history="1">
        <w:r w:rsidRPr="00BE6C01">
          <w:rPr>
            <w:rStyle w:val="a3"/>
            <w:noProof/>
            <w:sz w:val="28"/>
            <w:szCs w:val="28"/>
            <w:lang w:eastAsia="ar-SA"/>
          </w:rPr>
          <w:t xml:space="preserve">2 Анализ практики антикоррупционного аудита ОАО 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3" w:history="1">
        <w:r w:rsidRPr="00BE6C01">
          <w:rPr>
            <w:rStyle w:val="a3"/>
            <w:noProof/>
            <w:sz w:val="28"/>
            <w:szCs w:val="28"/>
            <w:lang w:eastAsia="ar-SA"/>
          </w:rPr>
          <w:t xml:space="preserve">2.1 Организационно-экономическая характеристика ОАО 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4" w:history="1">
        <w:r w:rsidRPr="00BE6C01">
          <w:rPr>
            <w:rStyle w:val="a3"/>
            <w:noProof/>
            <w:sz w:val="28"/>
            <w:szCs w:val="28"/>
            <w:lang w:eastAsia="ar-SA"/>
          </w:rPr>
          <w:t xml:space="preserve">2.2 Организация и проведение внутреннего антикоррупционного аудита ОАО 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5" w:history="1">
        <w:r w:rsidRPr="00BE6C01">
          <w:rPr>
            <w:rStyle w:val="a3"/>
            <w:noProof/>
            <w:sz w:val="28"/>
            <w:szCs w:val="28"/>
            <w:lang w:eastAsia="ar-SA"/>
          </w:rPr>
          <w:t xml:space="preserve">2.3 Организация и проведение внешнего антикоррупционного аудита ОАО 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6" w:history="1">
        <w:r w:rsidRPr="00BE6C01">
          <w:rPr>
            <w:rStyle w:val="a3"/>
            <w:noProof/>
            <w:sz w:val="28"/>
            <w:szCs w:val="28"/>
            <w:lang w:eastAsia="ar-SA"/>
          </w:rPr>
          <w:t>3 Совершенствование формирования и применения консолидированной отчетности по результатам аудита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7" w:history="1">
        <w:r w:rsidRPr="00BE6C01">
          <w:rPr>
            <w:rStyle w:val="a3"/>
            <w:noProof/>
            <w:sz w:val="28"/>
            <w:szCs w:val="28"/>
            <w:lang w:eastAsia="ar-SA"/>
          </w:rPr>
          <w:t>3.1 Проблемы и нарушения проведения антикоррупционного аудита в обеспечении экономической безопасности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8" w:history="1">
        <w:r w:rsidRPr="00BE6C01">
          <w:rPr>
            <w:rStyle w:val="a3"/>
            <w:noProof/>
            <w:sz w:val="28"/>
            <w:szCs w:val="28"/>
            <w:lang w:eastAsia="ar-SA"/>
          </w:rPr>
          <w:t>3.2 Мероприятия по совершенствованию проведения антикоррупционного аудита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39" w:history="1">
        <w:r w:rsidRPr="00BE6C01">
          <w:rPr>
            <w:rStyle w:val="a3"/>
            <w:noProof/>
            <w:sz w:val="28"/>
            <w:szCs w:val="28"/>
            <w:lang w:eastAsia="ar-SA"/>
          </w:rPr>
          <w:t>3.3 Расчет экономической эффективности предложенных мероприятий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40" w:history="1">
        <w:r w:rsidRPr="00BE6C01">
          <w:rPr>
            <w:rStyle w:val="a3"/>
            <w:noProof/>
            <w:sz w:val="28"/>
            <w:szCs w:val="28"/>
            <w:lang w:eastAsia="ar-SA"/>
          </w:rPr>
          <w:t>Заключение</w:t>
        </w:r>
      </w:hyperlink>
    </w:p>
    <w:p w:rsidR="00041BF8" w:rsidRPr="00BE6C01" w:rsidRDefault="00041BF8" w:rsidP="00041BF8">
      <w:pPr>
        <w:pStyle w:val="11"/>
        <w:tabs>
          <w:tab w:val="right" w:leader="dot" w:pos="9628"/>
        </w:tabs>
        <w:spacing w:after="0" w:line="360" w:lineRule="auto"/>
        <w:rPr>
          <w:noProof/>
          <w:sz w:val="28"/>
          <w:szCs w:val="28"/>
        </w:rPr>
      </w:pPr>
      <w:hyperlink w:anchor="_Toc196566041" w:history="1">
        <w:r w:rsidRPr="00BE6C01">
          <w:rPr>
            <w:rStyle w:val="a3"/>
            <w:noProof/>
            <w:sz w:val="28"/>
            <w:szCs w:val="28"/>
            <w:lang w:eastAsia="ar-SA"/>
          </w:rPr>
          <w:t>Список литературы</w:t>
        </w:r>
      </w:hyperlink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  <w:r w:rsidRPr="00BE6C01">
        <w:rPr>
          <w:sz w:val="28"/>
          <w:szCs w:val="28"/>
          <w:lang w:eastAsia="ar-SA"/>
        </w:rPr>
        <w:fldChar w:fldCharType="end"/>
      </w: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Default="00041BF8" w:rsidP="00041BF8">
      <w:pPr>
        <w:ind w:firstLine="708"/>
        <w:rPr>
          <w:sz w:val="28"/>
          <w:szCs w:val="28"/>
          <w:lang w:eastAsia="ar-SA"/>
        </w:rPr>
      </w:pPr>
    </w:p>
    <w:p w:rsidR="00041BF8" w:rsidRPr="00BE6C01" w:rsidRDefault="00041BF8" w:rsidP="00041BF8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Toc196566040"/>
      <w:r w:rsidRPr="00BE6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Заключение</w:t>
      </w:r>
      <w:bookmarkEnd w:id="0"/>
    </w:p>
    <w:p w:rsidR="00041BF8" w:rsidRPr="00BE6C01" w:rsidRDefault="00041BF8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41BF8" w:rsidRPr="00BE6C01" w:rsidRDefault="00041BF8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E6C01">
        <w:rPr>
          <w:sz w:val="28"/>
          <w:szCs w:val="28"/>
        </w:rPr>
        <w:t>Проведенное в выпускной квалификационной работе исследование позволило сделать следующие выводы:</w:t>
      </w:r>
    </w:p>
    <w:p w:rsidR="00041BF8" w:rsidRDefault="00041BF8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E6C01">
        <w:rPr>
          <w:sz w:val="28"/>
          <w:szCs w:val="28"/>
        </w:rPr>
        <w:t xml:space="preserve">Антикоррупционный аудит в современных условиях функционирования крупных хозяйствующих субъектов, таких как </w:t>
      </w:r>
      <w:proofErr w:type="spellStart"/>
      <w:r w:rsidRPr="00BE6C01">
        <w:rPr>
          <w:sz w:val="28"/>
          <w:szCs w:val="28"/>
        </w:rPr>
        <w:t>ОАОпредставляет</w:t>
      </w:r>
      <w:proofErr w:type="spellEnd"/>
      <w:r w:rsidRPr="00BE6C01">
        <w:rPr>
          <w:sz w:val="28"/>
          <w:szCs w:val="28"/>
        </w:rPr>
        <w:t xml:space="preserve"> собой неотъемлемый элемент системы внутреннего контроля, направленной на обеспечение экономической безопасности предприятия. Аудит как специальный инструмент противодействия коррупции позволяет не только своевременно выявлять и минимизировать коррупционные риски, но и формирует основы устойчивого развития организации, снижая вероятность финансовых и </w:t>
      </w:r>
      <w:proofErr w:type="spellStart"/>
      <w:r w:rsidRPr="00BE6C01">
        <w:rPr>
          <w:sz w:val="28"/>
          <w:szCs w:val="28"/>
        </w:rPr>
        <w:t>репутационных</w:t>
      </w:r>
      <w:proofErr w:type="spellEnd"/>
      <w:r w:rsidRPr="00BE6C01">
        <w:rPr>
          <w:sz w:val="28"/>
          <w:szCs w:val="28"/>
        </w:rPr>
        <w:t xml:space="preserve"> потерь.</w:t>
      </w: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0127A" w:rsidRPr="00BE6C01" w:rsidRDefault="0060127A" w:rsidP="0060127A">
      <w:pPr>
        <w:pStyle w:val="1"/>
        <w:jc w:val="center"/>
        <w:rPr>
          <w:rFonts w:ascii="Times New Roman" w:hAnsi="Times New Roman" w:cs="Times New Roman"/>
          <w:b/>
          <w:color w:val="000000"/>
          <w:szCs w:val="28"/>
          <w:lang w:eastAsia="ar-SA"/>
        </w:rPr>
      </w:pPr>
      <w:bookmarkStart w:id="1" w:name="_Toc196566041"/>
      <w:r w:rsidRPr="00BE6C01">
        <w:rPr>
          <w:rFonts w:ascii="Times New Roman" w:hAnsi="Times New Roman" w:cs="Times New Roman"/>
          <w:b/>
          <w:color w:val="000000"/>
          <w:szCs w:val="28"/>
          <w:lang w:eastAsia="ar-SA"/>
        </w:rPr>
        <w:t>Список литературы</w:t>
      </w:r>
      <w:bookmarkEnd w:id="1"/>
    </w:p>
    <w:p w:rsidR="0060127A" w:rsidRPr="00BE6C01" w:rsidRDefault="0060127A" w:rsidP="0060127A">
      <w:pPr>
        <w:spacing w:line="360" w:lineRule="auto"/>
        <w:jc w:val="center"/>
        <w:rPr>
          <w:sz w:val="28"/>
        </w:rPr>
      </w:pPr>
    </w:p>
    <w:p w:rsidR="0060127A" w:rsidRPr="00BE6C01" w:rsidRDefault="0060127A" w:rsidP="0060127A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2" w:name="_Ref158768636"/>
      <w:r w:rsidRPr="00BE6C01">
        <w:rPr>
          <w:color w:val="000000" w:themeColor="text1"/>
          <w:sz w:val="28"/>
          <w:szCs w:val="28"/>
        </w:rPr>
        <w:t xml:space="preserve">Конституция Российской Федерации (принята всенародным голосованием 12.12.1993) (в ред. от 01.07.2020) [Электронный ресурс]. – URL: </w:t>
      </w:r>
      <w:hyperlink r:id="rId5" w:history="1">
        <w:r w:rsidRPr="00BE6C01">
          <w:rPr>
            <w:rStyle w:val="a3"/>
            <w:color w:val="000000" w:themeColor="text1"/>
            <w:sz w:val="28"/>
            <w:szCs w:val="28"/>
          </w:rPr>
          <w:t>http://www.consultant.ru/document/cons_doc_LAW_28399/</w:t>
        </w:r>
      </w:hyperlink>
      <w:bookmarkEnd w:id="2"/>
    </w:p>
    <w:p w:rsidR="0060127A" w:rsidRPr="00BE6C01" w:rsidRDefault="0060127A" w:rsidP="0060127A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3" w:name="_Ref158768643"/>
      <w:r w:rsidRPr="00BE6C01">
        <w:rPr>
          <w:color w:val="000000" w:themeColor="text1"/>
          <w:sz w:val="28"/>
          <w:szCs w:val="28"/>
        </w:rPr>
        <w:t xml:space="preserve">Гражданский кодекс Российской Федерации от 30.11.1994 г. N 51-ФЗ </w:t>
      </w:r>
      <w:r w:rsidRPr="00BE6C01">
        <w:rPr>
          <w:color w:val="000000" w:themeColor="text1"/>
          <w:kern w:val="28"/>
          <w:sz w:val="28"/>
          <w:lang w:eastAsia="en-US"/>
        </w:rPr>
        <w:t>(в ред. от 31.10.2024)</w:t>
      </w:r>
      <w:r w:rsidRPr="00BE6C01">
        <w:rPr>
          <w:color w:val="000000" w:themeColor="text1"/>
          <w:sz w:val="32"/>
          <w:szCs w:val="28"/>
        </w:rPr>
        <w:t xml:space="preserve"> </w:t>
      </w:r>
      <w:r w:rsidRPr="00BE6C01">
        <w:rPr>
          <w:color w:val="000000" w:themeColor="text1"/>
          <w:sz w:val="28"/>
          <w:szCs w:val="28"/>
        </w:rPr>
        <w:t xml:space="preserve">[Электронный ресурс]. – URL: </w:t>
      </w:r>
      <w:hyperlink r:id="rId6" w:history="1">
        <w:r w:rsidRPr="00BE6C01">
          <w:rPr>
            <w:rStyle w:val="a3"/>
            <w:color w:val="000000" w:themeColor="text1"/>
            <w:sz w:val="28"/>
            <w:szCs w:val="28"/>
          </w:rPr>
          <w:t>http://www.consultant.ru/document/cons_doc_LAW_5142/</w:t>
        </w:r>
      </w:hyperlink>
      <w:bookmarkEnd w:id="3"/>
      <w:r w:rsidRPr="00BE6C01">
        <w:rPr>
          <w:rStyle w:val="a3"/>
          <w:color w:val="000000" w:themeColor="text1"/>
          <w:sz w:val="28"/>
          <w:szCs w:val="28"/>
        </w:rPr>
        <w:t xml:space="preserve"> </w:t>
      </w:r>
    </w:p>
    <w:p w:rsidR="0060127A" w:rsidRPr="00BE6C01" w:rsidRDefault="0060127A" w:rsidP="0060127A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4" w:name="_Ref158768648"/>
      <w:r w:rsidRPr="00BE6C01">
        <w:rPr>
          <w:color w:val="000000" w:themeColor="text1"/>
          <w:sz w:val="28"/>
          <w:szCs w:val="28"/>
        </w:rPr>
        <w:t>Федеральный закон «Об аудиторской деятельности» от 30.12.2008 N 307-ФЗ (</w:t>
      </w:r>
      <w:r w:rsidRPr="00BE6C01">
        <w:rPr>
          <w:rFonts w:eastAsia="Calibri"/>
          <w:color w:val="000000" w:themeColor="text1"/>
          <w:sz w:val="28"/>
          <w:szCs w:val="28"/>
          <w:lang w:eastAsia="en-US"/>
        </w:rPr>
        <w:t xml:space="preserve">в ред. от </w:t>
      </w:r>
      <w:r w:rsidRPr="00BE6C01">
        <w:rPr>
          <w:color w:val="000000" w:themeColor="text1"/>
          <w:kern w:val="28"/>
          <w:sz w:val="28"/>
          <w:lang w:eastAsia="en-US"/>
        </w:rPr>
        <w:t>25.10.2024</w:t>
      </w:r>
      <w:r w:rsidRPr="00BE6C01">
        <w:rPr>
          <w:color w:val="000000" w:themeColor="text1"/>
          <w:sz w:val="28"/>
          <w:szCs w:val="28"/>
        </w:rPr>
        <w:t xml:space="preserve">) [Электронный ресурс]. – URL: </w:t>
      </w:r>
      <w:hyperlink r:id="rId7" w:history="1">
        <w:r w:rsidRPr="00BE6C01">
          <w:rPr>
            <w:rStyle w:val="a3"/>
            <w:color w:val="000000" w:themeColor="text1"/>
            <w:sz w:val="28"/>
            <w:szCs w:val="28"/>
          </w:rPr>
          <w:t>http://www.</w:t>
        </w:r>
        <w:r w:rsidRPr="00BE6C01">
          <w:rPr>
            <w:kern w:val="28"/>
            <w:lang w:eastAsia="en-US"/>
          </w:rPr>
          <w:t>consultant</w:t>
        </w:r>
        <w:r w:rsidRPr="00BE6C01">
          <w:rPr>
            <w:rStyle w:val="a3"/>
            <w:color w:val="000000" w:themeColor="text1"/>
            <w:sz w:val="28"/>
            <w:szCs w:val="28"/>
          </w:rPr>
          <w:t>.ru/document/cons_doc_LAW_83311/</w:t>
        </w:r>
      </w:hyperlink>
      <w:bookmarkEnd w:id="4"/>
    </w:p>
    <w:p w:rsidR="0060127A" w:rsidRPr="00BE6C01" w:rsidRDefault="0060127A" w:rsidP="0060127A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" w:name="_Ref158767563"/>
      <w:r w:rsidRPr="00BE6C01">
        <w:rPr>
          <w:sz w:val="28"/>
          <w:szCs w:val="28"/>
        </w:rPr>
        <w:t xml:space="preserve">Международные стандарты аудита (МСА) </w:t>
      </w:r>
      <w:r w:rsidRPr="00BE6C01">
        <w:rPr>
          <w:color w:val="000000" w:themeColor="text1"/>
          <w:sz w:val="28"/>
          <w:szCs w:val="28"/>
        </w:rPr>
        <w:t xml:space="preserve">[Электронный ресурс]. – URL: </w:t>
      </w:r>
      <w:r w:rsidRPr="00BE6C01">
        <w:rPr>
          <w:sz w:val="28"/>
          <w:szCs w:val="28"/>
        </w:rPr>
        <w:t>https://www.consultant.ru/document/cons_doc_LAW_71765/</w:t>
      </w:r>
      <w:r w:rsidRPr="00BE6C01">
        <w:rPr>
          <w:sz w:val="28"/>
          <w:szCs w:val="28"/>
        </w:rPr>
        <w:br/>
        <w:t>1b47b1cc9aecc07d5589a4cf9b1d2c2ba11f4d28/</w:t>
      </w:r>
      <w:bookmarkEnd w:id="5"/>
    </w:p>
    <w:p w:rsidR="0060127A" w:rsidRPr="00BE6C01" w:rsidRDefault="0060127A" w:rsidP="0060127A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E6C01">
        <w:rPr>
          <w:color w:val="000000" w:themeColor="text1"/>
          <w:sz w:val="28"/>
          <w:szCs w:val="28"/>
        </w:rPr>
        <w:t xml:space="preserve">Приказ Минфина России от 09.11.2016 N 207н «О введении в действие международных стандартов аудита на территории РФ» (Зарегистрировано в Минюсте России 17.11.2016 N 44354) [Электронный ресурс]. – URL: </w:t>
      </w:r>
      <w:hyperlink r:id="rId8" w:history="1">
        <w:r w:rsidRPr="00BE6C01">
          <w:rPr>
            <w:rStyle w:val="a3"/>
            <w:color w:val="000000" w:themeColor="text1"/>
            <w:sz w:val="28"/>
            <w:szCs w:val="28"/>
          </w:rPr>
          <w:t>http://www.consultant.ru/document/cons_doc_LAW_207277/</w:t>
        </w:r>
      </w:hyperlink>
      <w:r w:rsidRPr="00BE6C01">
        <w:rPr>
          <w:color w:val="000000" w:themeColor="text1"/>
          <w:sz w:val="28"/>
          <w:szCs w:val="28"/>
        </w:rPr>
        <w:t xml:space="preserve"> </w:t>
      </w:r>
    </w:p>
    <w:p w:rsidR="0060127A" w:rsidRPr="00BE6C01" w:rsidRDefault="0060127A" w:rsidP="00041BF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6" w:name="_GoBack"/>
      <w:bookmarkEnd w:id="6"/>
    </w:p>
    <w:p w:rsidR="00041BF8" w:rsidRDefault="00041BF8" w:rsidP="00041BF8">
      <w:pPr>
        <w:ind w:firstLine="708"/>
      </w:pPr>
    </w:p>
    <w:sectPr w:rsidR="0004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A425B"/>
    <w:multiLevelType w:val="hybridMultilevel"/>
    <w:tmpl w:val="D90C626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15"/>
    <w:rsid w:val="00041BF8"/>
    <w:rsid w:val="00522215"/>
    <w:rsid w:val="0060127A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3BAB"/>
  <w15:chartTrackingRefBased/>
  <w15:docId w15:val="{FB727976-FEFE-49F3-9B4B-565A9E4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1B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BF8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41BF8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041B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60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72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33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42/" TargetMode="External"/><Relationship Id="rId5" Type="http://schemas.openxmlformats.org/officeDocument/2006/relationships/hyperlink" Target="http://www.consultant.ru/document/cons_doc_LAW_2839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2026-01-19T10:40:00Z</dcterms:created>
  <dcterms:modified xsi:type="dcterms:W3CDTF">2026-01-19T10:51:00Z</dcterms:modified>
</cp:coreProperties>
</file>