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D0" w:rsidRDefault="00F802D0" w:rsidP="00F802D0">
      <w:pPr>
        <w:widowControl w:val="0"/>
        <w:jc w:val="center"/>
        <w:rPr>
          <w:sz w:val="28"/>
        </w:rPr>
      </w:pPr>
      <w:r w:rsidRPr="00046D23">
        <w:rPr>
          <w:sz w:val="28"/>
        </w:rPr>
        <w:t>Совершенствование системы обучения и развития персонала в компании</w:t>
      </w:r>
    </w:p>
    <w:p w:rsidR="00F802D0" w:rsidRDefault="00F802D0" w:rsidP="00F802D0">
      <w:pPr>
        <w:widowControl w:val="0"/>
        <w:jc w:val="center"/>
        <w:rPr>
          <w:sz w:val="28"/>
        </w:rPr>
      </w:pPr>
      <w:r>
        <w:rPr>
          <w:sz w:val="28"/>
        </w:rPr>
        <w:t>Стр_</w:t>
      </w:r>
      <w:r w:rsidR="001F1581">
        <w:rPr>
          <w:sz w:val="28"/>
        </w:rPr>
        <w:t>89</w:t>
      </w:r>
    </w:p>
    <w:p w:rsidR="001F1581" w:rsidRPr="00046D23" w:rsidRDefault="001F1581" w:rsidP="001F1581">
      <w:pPr>
        <w:widowControl w:val="0"/>
        <w:rPr>
          <w:color w:val="000000" w:themeColor="text1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d w:val="1355309798"/>
        <w:docPartObj>
          <w:docPartGallery w:val="Table of Contents"/>
          <w:docPartUnique/>
        </w:docPartObj>
      </w:sdtPr>
      <w:sdtEndPr>
        <w:rPr>
          <w:bCs/>
          <w:color w:val="auto"/>
        </w:rPr>
      </w:sdtEndPr>
      <w:sdtContent>
        <w:p w:rsidR="001F1581" w:rsidRPr="00046D23" w:rsidRDefault="001F1581" w:rsidP="001F1581">
          <w:pPr>
            <w:pStyle w:val="a8"/>
            <w:keepNext w:val="0"/>
            <w:keepLines w:val="0"/>
            <w:widowControl w:val="0"/>
            <w:spacing w:before="0" w:line="240" w:lineRule="auto"/>
            <w:rPr>
              <w:sz w:val="28"/>
              <w:szCs w:val="28"/>
            </w:rPr>
          </w:pPr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Style w:val="a7"/>
              <w:noProof/>
              <w:sz w:val="28"/>
              <w:szCs w:val="28"/>
            </w:rPr>
          </w:pPr>
          <w:r w:rsidRPr="00046D23">
            <w:rPr>
              <w:sz w:val="28"/>
              <w:szCs w:val="28"/>
            </w:rPr>
            <w:fldChar w:fldCharType="begin"/>
          </w:r>
          <w:r w:rsidRPr="00046D23">
            <w:rPr>
              <w:sz w:val="28"/>
              <w:szCs w:val="28"/>
            </w:rPr>
            <w:instrText xml:space="preserve"> TOC \o "1-3" \h \z \u </w:instrText>
          </w:r>
          <w:r w:rsidRPr="00046D23">
            <w:rPr>
              <w:sz w:val="28"/>
              <w:szCs w:val="28"/>
            </w:rPr>
            <w:fldChar w:fldCharType="separate"/>
          </w:r>
          <w:hyperlink w:anchor="_Toc41414936" w:history="1"/>
          <w:hyperlink w:anchor="_Toc41414939" w:history="1">
            <w:r w:rsidRPr="00046D23">
              <w:rPr>
                <w:rStyle w:val="a7"/>
                <w:noProof/>
                <w:sz w:val="28"/>
                <w:szCs w:val="28"/>
              </w:rPr>
              <w:t>ВВЕДЕНИЕ</w:t>
            </w:r>
          </w:hyperlink>
        </w:p>
        <w:p w:rsidR="001F1581" w:rsidRPr="00046D23" w:rsidRDefault="001F1581" w:rsidP="001F1581">
          <w:pPr>
            <w:widowControl w:val="0"/>
            <w:rPr>
              <w:rFonts w:eastAsiaTheme="minorEastAsia"/>
              <w:noProof/>
            </w:rPr>
          </w:pPr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414940" w:history="1">
            <w:r w:rsidRPr="00046D23">
              <w:rPr>
                <w:rStyle w:val="a7"/>
                <w:noProof/>
                <w:sz w:val="28"/>
                <w:szCs w:val="28"/>
              </w:rPr>
              <w:t>1 ТЕОРЕТИЧЕСКИЕ ОСНОВЫ СИСТЕМЫ ОБУЧЕНИЯ ПЕРСОНАЛА</w:t>
            </w:r>
          </w:hyperlink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414941" w:history="1">
            <w:r w:rsidRPr="00046D23">
              <w:rPr>
                <w:rStyle w:val="a7"/>
                <w:noProof/>
                <w:sz w:val="28"/>
                <w:szCs w:val="28"/>
              </w:rPr>
              <w:t>1.1 Основные цели и функции системы обучения персонала</w:t>
            </w:r>
          </w:hyperlink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414942" w:history="1">
            <w:r w:rsidRPr="00046D23">
              <w:rPr>
                <w:rStyle w:val="a7"/>
                <w:noProof/>
                <w:sz w:val="28"/>
                <w:szCs w:val="28"/>
              </w:rPr>
              <w:t>1.2 Система, методы и формы обучения персонала внутри компании</w:t>
            </w:r>
          </w:hyperlink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Style w:val="a7"/>
              <w:noProof/>
              <w:sz w:val="28"/>
              <w:szCs w:val="28"/>
            </w:rPr>
          </w:pPr>
          <w:hyperlink w:anchor="_Toc41414943" w:history="1">
            <w:r w:rsidRPr="00046D23">
              <w:rPr>
                <w:rStyle w:val="a7"/>
                <w:noProof/>
                <w:sz w:val="28"/>
                <w:szCs w:val="28"/>
              </w:rPr>
              <w:t>1.3 Зарубежный опыт внутрифирменного обучения персонала</w:t>
            </w:r>
          </w:hyperlink>
        </w:p>
        <w:p w:rsidR="001F1581" w:rsidRPr="00046D23" w:rsidRDefault="001F1581" w:rsidP="001F1581">
          <w:pPr>
            <w:widowControl w:val="0"/>
            <w:rPr>
              <w:rFonts w:eastAsiaTheme="minorEastAsia"/>
              <w:noProof/>
            </w:rPr>
          </w:pPr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414944" w:history="1">
            <w:r w:rsidRPr="00046D23">
              <w:rPr>
                <w:rStyle w:val="a7"/>
                <w:noProof/>
                <w:sz w:val="28"/>
                <w:szCs w:val="28"/>
              </w:rPr>
              <w:t>2 АНАЛИЗ И ОЦЕНКА СИСТЕМЫ ОБУЧЕНИЯ ПЕРСОНАЛА ФАРМАЦЕВТИЧЕСКОЙ ОРГАНИЗАЦИИ</w:t>
            </w:r>
          </w:hyperlink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414945" w:history="1">
            <w:r w:rsidRPr="00046D23">
              <w:rPr>
                <w:rStyle w:val="a7"/>
                <w:noProof/>
                <w:sz w:val="28"/>
                <w:szCs w:val="28"/>
              </w:rPr>
              <w:t xml:space="preserve">2.1 Анализ системы </w:t>
            </w:r>
            <w:r>
              <w:rPr>
                <w:rStyle w:val="a7"/>
                <w:noProof/>
                <w:sz w:val="28"/>
                <w:szCs w:val="28"/>
              </w:rPr>
              <w:t xml:space="preserve"> функционирования компании ТОО </w:t>
            </w:r>
            <w:r w:rsidRPr="00046D23">
              <w:rPr>
                <w:rStyle w:val="a7"/>
                <w:noProof/>
                <w:sz w:val="28"/>
                <w:szCs w:val="28"/>
              </w:rPr>
              <w:t>на фармацевтическом рынке Республики Казахстан</w:t>
            </w:r>
          </w:hyperlink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414946" w:history="1">
            <w:r w:rsidRPr="00046D23">
              <w:rPr>
                <w:rStyle w:val="a7"/>
                <w:noProof/>
                <w:sz w:val="28"/>
                <w:szCs w:val="28"/>
              </w:rPr>
              <w:t>2.2 Специфика системы обучения персонала фармацевтической организации</w:t>
            </w:r>
          </w:hyperlink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Style w:val="a7"/>
              <w:noProof/>
              <w:sz w:val="28"/>
              <w:szCs w:val="28"/>
            </w:rPr>
          </w:pPr>
          <w:hyperlink w:anchor="_Toc41414947" w:history="1">
            <w:r w:rsidRPr="00046D23">
              <w:rPr>
                <w:rStyle w:val="a7"/>
                <w:noProof/>
                <w:sz w:val="28"/>
                <w:szCs w:val="28"/>
              </w:rPr>
              <w:t>2.3 Оценка эффективности системы обучения сотрудников аптек</w:t>
            </w:r>
          </w:hyperlink>
        </w:p>
        <w:p w:rsidR="001F1581" w:rsidRPr="00046D23" w:rsidRDefault="001F1581" w:rsidP="001F1581">
          <w:pPr>
            <w:widowControl w:val="0"/>
            <w:rPr>
              <w:rFonts w:eastAsiaTheme="minorEastAsia"/>
              <w:noProof/>
            </w:rPr>
          </w:pPr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414948" w:history="1">
            <w:r w:rsidRPr="00046D23">
              <w:rPr>
                <w:rStyle w:val="a7"/>
                <w:noProof/>
                <w:sz w:val="28"/>
                <w:szCs w:val="28"/>
              </w:rPr>
              <w:t>3 МЕРОПРИЯТИЯ ПО ПОВЫШЕНИЮ КВАЛИФИКАЦИИ ПЕРСОНАЛА ФАРМАЦЕВТИЧЕСКОЙ ОРГАНИЗАЦИИ</w:t>
            </w:r>
          </w:hyperlink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414949" w:history="1">
            <w:r w:rsidRPr="00046D23">
              <w:rPr>
                <w:rStyle w:val="a7"/>
                <w:noProof/>
                <w:sz w:val="28"/>
                <w:szCs w:val="28"/>
              </w:rPr>
              <w:t>3.1 Недостатки системы управления трудовыми ресурсами фармацевтической организации и пути их минимизации</w:t>
            </w:r>
          </w:hyperlink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414950" w:history="1">
            <w:r w:rsidRPr="00046D23">
              <w:rPr>
                <w:rStyle w:val="a7"/>
                <w:noProof/>
                <w:sz w:val="28"/>
                <w:szCs w:val="28"/>
              </w:rPr>
              <w:t>3.2 Разработка мероприятий по повышению квалификации фармацевтических работников</w:t>
            </w:r>
          </w:hyperlink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Style w:val="a7"/>
              <w:noProof/>
              <w:sz w:val="28"/>
              <w:szCs w:val="28"/>
            </w:rPr>
          </w:pPr>
          <w:hyperlink w:anchor="_Toc41414951" w:history="1">
            <w:r w:rsidRPr="00046D23">
              <w:rPr>
                <w:rStyle w:val="a7"/>
                <w:noProof/>
                <w:sz w:val="28"/>
                <w:szCs w:val="28"/>
              </w:rPr>
              <w:t>3.3 Экономическое обоснование эффективности мероприятий по повышению квалификации сотрудников фармацевтической организации</w:t>
            </w:r>
          </w:hyperlink>
        </w:p>
        <w:p w:rsidR="001F1581" w:rsidRPr="00046D23" w:rsidRDefault="001F1581" w:rsidP="001F1581">
          <w:pPr>
            <w:widowControl w:val="0"/>
            <w:rPr>
              <w:rFonts w:eastAsiaTheme="minorEastAsia"/>
              <w:noProof/>
            </w:rPr>
          </w:pPr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Style w:val="a7"/>
              <w:noProof/>
              <w:sz w:val="28"/>
              <w:szCs w:val="28"/>
            </w:rPr>
          </w:pPr>
          <w:hyperlink w:anchor="_Toc41414952" w:history="1">
            <w:r w:rsidRPr="00046D23">
              <w:rPr>
                <w:rStyle w:val="a7"/>
                <w:noProof/>
                <w:sz w:val="28"/>
                <w:szCs w:val="28"/>
              </w:rPr>
              <w:t>ЗАКЛЮЧЕНИЕ</w:t>
            </w:r>
          </w:hyperlink>
        </w:p>
        <w:p w:rsidR="001F1581" w:rsidRPr="00046D23" w:rsidRDefault="001F1581" w:rsidP="001F1581">
          <w:pPr>
            <w:widowControl w:val="0"/>
            <w:rPr>
              <w:rFonts w:eastAsiaTheme="minorEastAsia"/>
              <w:noProof/>
            </w:rPr>
          </w:pPr>
        </w:p>
        <w:p w:rsidR="001F1581" w:rsidRPr="00046D23" w:rsidRDefault="001F1581" w:rsidP="001F1581">
          <w:pPr>
            <w:pStyle w:val="11"/>
            <w:widowControl w:val="0"/>
            <w:tabs>
              <w:tab w:val="right" w:leader="dot" w:pos="9962"/>
            </w:tabs>
            <w:spacing w:after="0"/>
            <w:rPr>
              <w:rStyle w:val="a7"/>
              <w:noProof/>
              <w:sz w:val="28"/>
              <w:szCs w:val="28"/>
            </w:rPr>
          </w:pPr>
          <w:hyperlink w:anchor="_Toc41414953" w:history="1">
            <w:r w:rsidRPr="00046D23">
              <w:rPr>
                <w:rStyle w:val="a7"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1F1581" w:rsidRPr="00046D23" w:rsidRDefault="001F1581" w:rsidP="001F1581">
          <w:pPr>
            <w:widowControl w:val="0"/>
            <w:tabs>
              <w:tab w:val="left" w:pos="851"/>
              <w:tab w:val="left" w:pos="993"/>
            </w:tabs>
            <w:rPr>
              <w:sz w:val="28"/>
              <w:szCs w:val="28"/>
            </w:rPr>
          </w:pPr>
          <w:r w:rsidRPr="00046D23">
            <w:rPr>
              <w:bCs/>
              <w:sz w:val="28"/>
              <w:szCs w:val="28"/>
            </w:rPr>
            <w:fldChar w:fldCharType="end"/>
          </w:r>
        </w:p>
      </w:sdtContent>
    </w:sdt>
    <w:p w:rsidR="001F1581" w:rsidRPr="00046D23" w:rsidRDefault="001F1581" w:rsidP="001F1581">
      <w:pPr>
        <w:widowControl w:val="0"/>
        <w:rPr>
          <w:sz w:val="28"/>
          <w:szCs w:val="28"/>
        </w:rPr>
      </w:pPr>
    </w:p>
    <w:p w:rsidR="001F1581" w:rsidRPr="00046D23" w:rsidRDefault="001F1581" w:rsidP="00F802D0">
      <w:pPr>
        <w:widowControl w:val="0"/>
        <w:jc w:val="center"/>
        <w:rPr>
          <w:sz w:val="28"/>
        </w:rPr>
      </w:pPr>
    </w:p>
    <w:p w:rsidR="001F1581" w:rsidRDefault="001F1581">
      <w:pPr>
        <w:spacing w:after="160" w:line="259" w:lineRule="auto"/>
      </w:pPr>
      <w:r>
        <w:br w:type="page"/>
      </w:r>
    </w:p>
    <w:p w:rsidR="001F1581" w:rsidRPr="00046D23" w:rsidRDefault="001F1581" w:rsidP="001F1581">
      <w:pPr>
        <w:pStyle w:val="1"/>
        <w:widowControl w:val="0"/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0" w:name="_Toc41414952"/>
      <w:r w:rsidRPr="00046D23">
        <w:rPr>
          <w:rFonts w:ascii="Times New Roman" w:hAnsi="Times New Roman" w:cs="Times New Roman"/>
          <w:color w:val="000000" w:themeColor="text1"/>
          <w:sz w:val="28"/>
        </w:rPr>
        <w:lastRenderedPageBreak/>
        <w:t>ЗАКЛЮЧЕНИЕ</w:t>
      </w:r>
      <w:bookmarkEnd w:id="0"/>
    </w:p>
    <w:p w:rsidR="001F1581" w:rsidRPr="00046D23" w:rsidRDefault="001F1581" w:rsidP="001F1581">
      <w:pPr>
        <w:widowControl w:val="0"/>
        <w:ind w:firstLine="567"/>
        <w:jc w:val="both"/>
        <w:rPr>
          <w:color w:val="000000" w:themeColor="text1"/>
          <w:sz w:val="28"/>
        </w:rPr>
      </w:pPr>
    </w:p>
    <w:p w:rsidR="001F1581" w:rsidRPr="00046D23" w:rsidRDefault="001F1581" w:rsidP="001F1581">
      <w:pPr>
        <w:widowControl w:val="0"/>
        <w:ind w:firstLine="567"/>
        <w:jc w:val="both"/>
        <w:rPr>
          <w:color w:val="000000" w:themeColor="text1"/>
          <w:spacing w:val="-3"/>
          <w:sz w:val="28"/>
        </w:rPr>
      </w:pPr>
    </w:p>
    <w:p w:rsidR="001F1581" w:rsidRPr="00046D23" w:rsidRDefault="001F1581" w:rsidP="001F1581">
      <w:pPr>
        <w:widowControl w:val="0"/>
        <w:tabs>
          <w:tab w:val="left" w:pos="1134"/>
        </w:tabs>
        <w:ind w:firstLine="567"/>
        <w:jc w:val="both"/>
        <w:rPr>
          <w:spacing w:val="-3"/>
          <w:sz w:val="28"/>
          <w:szCs w:val="28"/>
        </w:rPr>
      </w:pPr>
      <w:r w:rsidRPr="00046D23">
        <w:rPr>
          <w:spacing w:val="-3"/>
          <w:sz w:val="28"/>
          <w:szCs w:val="28"/>
        </w:rPr>
        <w:t>Обучение и развитие персонала компании является одной из важнейших составляющих корпоративной социальной ответственности, а также фактором повышения эффективности функционирования бизнеса и его конкурентоспособности.</w:t>
      </w:r>
    </w:p>
    <w:p w:rsidR="001F1581" w:rsidRPr="00046D23" w:rsidRDefault="001F1581" w:rsidP="001F1581">
      <w:pPr>
        <w:widowControl w:val="0"/>
        <w:ind w:firstLine="567"/>
        <w:jc w:val="both"/>
        <w:rPr>
          <w:spacing w:val="-3"/>
          <w:sz w:val="28"/>
          <w:szCs w:val="28"/>
        </w:rPr>
      </w:pPr>
      <w:r w:rsidRPr="00046D23">
        <w:rPr>
          <w:spacing w:val="-3"/>
          <w:sz w:val="28"/>
          <w:szCs w:val="28"/>
        </w:rPr>
        <w:t>Один из наиболее эффективных способов повышения результативности и конкурентоспособности компании – вкладывать средства и усилия в развитие персонала. Затраты на развитие персонала не только окупаются, но и способствуют сохранению и процветанию компании. В настоящее время актуальность внедрения эффективных систем обучения и развития персонала уже не вызывает сомнений, роль обучения персонала в системе управления им уже осмыслена казахстанскими предпринимателями и руководителями.</w:t>
      </w:r>
    </w:p>
    <w:p w:rsidR="001F1581" w:rsidRPr="00046D23" w:rsidRDefault="001F1581" w:rsidP="001F1581">
      <w:pPr>
        <w:widowControl w:val="0"/>
        <w:tabs>
          <w:tab w:val="left" w:pos="1134"/>
        </w:tabs>
        <w:ind w:firstLine="567"/>
        <w:jc w:val="both"/>
        <w:rPr>
          <w:spacing w:val="-3"/>
          <w:sz w:val="28"/>
          <w:szCs w:val="28"/>
        </w:rPr>
      </w:pPr>
      <w:r w:rsidRPr="00046D23">
        <w:rPr>
          <w:spacing w:val="-3"/>
          <w:sz w:val="28"/>
          <w:szCs w:val="28"/>
        </w:rPr>
        <w:t xml:space="preserve">Развитие персонала компании реализуется через обучающие программы и программы подготовки и повышения квалификации, что повышает конкурентоспособность работников, снижает зависимость от одного работодателя, уменьшает нагрузку на государственный бюджет в случае потери работником своего места. </w:t>
      </w:r>
    </w:p>
    <w:p w:rsidR="001F1581" w:rsidRDefault="001F1581">
      <w:pPr>
        <w:spacing w:after="160" w:line="259" w:lineRule="auto"/>
      </w:pPr>
      <w:r>
        <w:br w:type="page"/>
      </w:r>
    </w:p>
    <w:p w:rsidR="001F1581" w:rsidRPr="00046D23" w:rsidRDefault="001F1581" w:rsidP="001F1581">
      <w:pPr>
        <w:pStyle w:val="1"/>
        <w:widowControl w:val="0"/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1" w:name="_Toc41414953"/>
      <w:r w:rsidRPr="00046D23">
        <w:rPr>
          <w:rFonts w:ascii="Times New Roman" w:hAnsi="Times New Roman" w:cs="Times New Roman"/>
          <w:color w:val="000000" w:themeColor="text1"/>
          <w:sz w:val="28"/>
        </w:rPr>
        <w:lastRenderedPageBreak/>
        <w:t>СПИСОК ИСПОЛЬЗОВАННЫХ ИСТОЧНИКОВ</w:t>
      </w:r>
      <w:bookmarkEnd w:id="1"/>
    </w:p>
    <w:p w:rsidR="001F1581" w:rsidRPr="00046D23" w:rsidRDefault="001F1581" w:rsidP="001F1581">
      <w:pPr>
        <w:widowControl w:val="0"/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1F1581" w:rsidRPr="00046D23" w:rsidRDefault="001F1581" w:rsidP="001F1581">
      <w:pPr>
        <w:widowControl w:val="0"/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1F1581" w:rsidRPr="00046D23" w:rsidRDefault="001F1581" w:rsidP="001F1581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046D23">
        <w:rPr>
          <w:rFonts w:eastAsia="Calibri"/>
          <w:color w:val="000000"/>
          <w:spacing w:val="-4"/>
          <w:sz w:val="28"/>
          <w:szCs w:val="28"/>
        </w:rPr>
        <w:t>Клейнер Г. Б. Наноэкономика // Вопросы экономики. 2013. №12. С. 70;</w:t>
      </w:r>
    </w:p>
    <w:p w:rsidR="001F1581" w:rsidRPr="00046D23" w:rsidRDefault="001F1581" w:rsidP="001F1581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900"/>
          <w:tab w:val="left" w:pos="993"/>
          <w:tab w:val="left" w:pos="1080"/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6D23">
        <w:rPr>
          <w:color w:val="000000" w:themeColor="text1"/>
          <w:sz w:val="28"/>
          <w:szCs w:val="28"/>
        </w:rPr>
        <w:t>Веснин В.Р. Основы менеджмента: Учебник. – М.: Институт международного права и экономики. Изд-во «Триада, Лтд», 2001. – 384 с.</w:t>
      </w:r>
    </w:p>
    <w:p w:rsidR="001F1581" w:rsidRPr="00046D23" w:rsidRDefault="001F1581" w:rsidP="001F1581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900"/>
          <w:tab w:val="left" w:pos="993"/>
          <w:tab w:val="left" w:pos="1080"/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6D23">
        <w:rPr>
          <w:bCs/>
          <w:color w:val="000000" w:themeColor="text1"/>
          <w:sz w:val="28"/>
          <w:szCs w:val="28"/>
        </w:rPr>
        <w:t>Иванова С. Оценка компетенций методом интервью. Универсальное руководство. – М.: Альпина Паблишер, 2013 г.</w:t>
      </w:r>
    </w:p>
    <w:p w:rsidR="001F1581" w:rsidRPr="00046D23" w:rsidRDefault="001F1581" w:rsidP="001F1581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6D23">
        <w:rPr>
          <w:bCs/>
          <w:color w:val="000000" w:themeColor="text1"/>
          <w:spacing w:val="2"/>
          <w:sz w:val="28"/>
          <w:szCs w:val="28"/>
        </w:rPr>
        <w:t>Бурмистрова Н.О. Оптимизация и повышение эффективности системы адаптации, оценки и развития персонала- М.: Лань, 2018</w:t>
      </w:r>
      <w:r w:rsidRPr="00046D23">
        <w:rPr>
          <w:color w:val="000000" w:themeColor="text1"/>
          <w:sz w:val="28"/>
          <w:szCs w:val="28"/>
        </w:rPr>
        <w:t>, с.104</w:t>
      </w:r>
    </w:p>
    <w:p w:rsidR="001F1581" w:rsidRPr="00046D23" w:rsidRDefault="001F1581" w:rsidP="001F1581">
      <w:pPr>
        <w:pStyle w:val="a9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6D23">
        <w:rPr>
          <w:color w:val="000000" w:themeColor="text1"/>
          <w:sz w:val="28"/>
          <w:szCs w:val="28"/>
        </w:rPr>
        <w:t>Иванова С.В., Болдогоев Д., Борчанинова Э. Развитие потенциала сотрудников</w:t>
      </w:r>
      <w:r w:rsidRPr="00046D23">
        <w:rPr>
          <w:bCs/>
          <w:color w:val="000000" w:themeColor="text1"/>
          <w:spacing w:val="2"/>
          <w:sz w:val="28"/>
          <w:szCs w:val="28"/>
        </w:rPr>
        <w:t>- М.: Альпина Паблишер, 2018</w:t>
      </w:r>
      <w:r w:rsidRPr="00046D23">
        <w:rPr>
          <w:color w:val="000000" w:themeColor="text1"/>
          <w:sz w:val="28"/>
          <w:szCs w:val="28"/>
        </w:rPr>
        <w:t>, с.280</w:t>
      </w:r>
    </w:p>
    <w:p w:rsidR="000765EA" w:rsidRDefault="000765EA">
      <w:bookmarkStart w:id="2" w:name="_GoBack"/>
      <w:bookmarkEnd w:id="2"/>
    </w:p>
    <w:sectPr w:rsidR="0007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6B" w:rsidRDefault="008C226B" w:rsidP="00F802D0">
      <w:r>
        <w:separator/>
      </w:r>
    </w:p>
  </w:endnote>
  <w:endnote w:type="continuationSeparator" w:id="0">
    <w:p w:rsidR="008C226B" w:rsidRDefault="008C226B" w:rsidP="00F8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6B" w:rsidRDefault="008C226B" w:rsidP="00F802D0">
      <w:r>
        <w:separator/>
      </w:r>
    </w:p>
  </w:footnote>
  <w:footnote w:type="continuationSeparator" w:id="0">
    <w:p w:rsidR="008C226B" w:rsidRDefault="008C226B" w:rsidP="00F8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165FF"/>
    <w:multiLevelType w:val="hybridMultilevel"/>
    <w:tmpl w:val="E250B508"/>
    <w:lvl w:ilvl="0" w:tplc="DFD8FC5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6A"/>
    <w:rsid w:val="000765EA"/>
    <w:rsid w:val="001F1581"/>
    <w:rsid w:val="008C226B"/>
    <w:rsid w:val="00F0416A"/>
    <w:rsid w:val="00F8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9514"/>
  <w15:chartTrackingRefBased/>
  <w15:docId w15:val="{D7C6662F-D058-4290-8BF3-5E90418E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2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02D0"/>
  </w:style>
  <w:style w:type="paragraph" w:styleId="a5">
    <w:name w:val="footer"/>
    <w:basedOn w:val="a"/>
    <w:link w:val="a6"/>
    <w:uiPriority w:val="99"/>
    <w:unhideWhenUsed/>
    <w:rsid w:val="00F802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02D0"/>
  </w:style>
  <w:style w:type="character" w:styleId="a7">
    <w:name w:val="Hyperlink"/>
    <w:basedOn w:val="a0"/>
    <w:uiPriority w:val="99"/>
    <w:unhideWhenUsed/>
    <w:rsid w:val="001F15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15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1F158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F1581"/>
    <w:pPr>
      <w:spacing w:after="100"/>
    </w:pPr>
  </w:style>
  <w:style w:type="paragraph" w:styleId="a9">
    <w:name w:val="List Paragraph"/>
    <w:aliases w:val="маркированный,Абзац списка1"/>
    <w:basedOn w:val="a"/>
    <w:link w:val="aa"/>
    <w:uiPriority w:val="34"/>
    <w:qFormat/>
    <w:rsid w:val="001F1581"/>
    <w:pPr>
      <w:ind w:left="720"/>
      <w:contextualSpacing/>
    </w:pPr>
  </w:style>
  <w:style w:type="character" w:customStyle="1" w:styleId="aa">
    <w:name w:val="Абзац списка Знак"/>
    <w:aliases w:val="маркированный Знак,Абзац списка1 Знак"/>
    <w:basedOn w:val="a0"/>
    <w:link w:val="a9"/>
    <w:uiPriority w:val="34"/>
    <w:rsid w:val="001F15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2021-04-02T09:28:00Z</dcterms:created>
  <dcterms:modified xsi:type="dcterms:W3CDTF">2021-04-02T09:32:00Z</dcterms:modified>
</cp:coreProperties>
</file>