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C7450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4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Учет, аудит и анализ формирования совокупного годового дохода</w:t>
      </w:r>
      <w:r w:rsidR="008C0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4588">
        <w:rPr>
          <w:rFonts w:ascii="Times New Roman" w:hAnsi="Times New Roman" w:cs="Times New Roman"/>
          <w:b/>
          <w:bCs/>
          <w:sz w:val="28"/>
          <w:szCs w:val="28"/>
        </w:rPr>
        <w:t xml:space="preserve">примере ТОО </w:t>
      </w:r>
    </w:p>
    <w:p w:rsidR="00C74504" w:rsidRDefault="00C74504" w:rsidP="00C74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Стр-78</w:t>
      </w:r>
    </w:p>
    <w:p w:rsidR="00C74504" w:rsidRPr="008B1333" w:rsidRDefault="00C74504" w:rsidP="00C74504">
      <w:pPr>
        <w:pStyle w:val="11"/>
        <w:tabs>
          <w:tab w:val="right" w:leader="dot" w:pos="9628"/>
        </w:tabs>
        <w:spacing w:after="0" w:line="240" w:lineRule="auto"/>
        <w:ind w:right="709"/>
        <w:rPr>
          <w:rStyle w:val="a3"/>
          <w:rFonts w:ascii="Times New Roman" w:hAnsi="Times New Roman" w:cs="Times New Roman"/>
          <w:noProof/>
          <w:sz w:val="28"/>
          <w:szCs w:val="28"/>
        </w:rPr>
      </w:pPr>
      <w:r w:rsidRPr="008B1333">
        <w:rPr>
          <w:rFonts w:ascii="Times New Roman" w:hAnsi="Times New Roman" w:cs="Times New Roman"/>
          <w:sz w:val="28"/>
          <w:szCs w:val="28"/>
        </w:rPr>
        <w:fldChar w:fldCharType="begin"/>
      </w:r>
      <w:r w:rsidRPr="008B1333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8B133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50741524" w:history="1">
        <w:r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</w:hyperlink>
    </w:p>
    <w:p w:rsidR="00C74504" w:rsidRPr="008B1333" w:rsidRDefault="00C74504" w:rsidP="00C74504">
      <w:pPr>
        <w:spacing w:after="0" w:line="240" w:lineRule="auto"/>
        <w:rPr>
          <w:noProof/>
          <w:sz w:val="28"/>
          <w:szCs w:val="28"/>
        </w:rPr>
      </w:pPr>
    </w:p>
    <w:p w:rsidR="00C74504" w:rsidRPr="008B1333" w:rsidRDefault="008C059B" w:rsidP="00C74504">
      <w:pPr>
        <w:pStyle w:val="11"/>
        <w:tabs>
          <w:tab w:val="right" w:leader="dot" w:pos="9628"/>
        </w:tabs>
        <w:spacing w:after="0" w:line="240" w:lineRule="auto"/>
        <w:ind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25" w:history="1">
        <w:r w:rsidR="00C74504" w:rsidRPr="008B1333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1 Понятие и характеристика совокупного годового дохода в финансовом учете</w:t>
        </w:r>
      </w:hyperlink>
    </w:p>
    <w:p w:rsidR="00C74504" w:rsidRPr="008B1333" w:rsidRDefault="008C059B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26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1.1 Характеристика совокупного годового дохода и его источники формирования</w:t>
        </w:r>
      </w:hyperlink>
    </w:p>
    <w:p w:rsidR="00C74504" w:rsidRPr="008B1333" w:rsidRDefault="00C74504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A4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D9E2" wp14:editId="160F9017">
                <wp:simplePos x="0" y="0"/>
                <wp:positionH relativeFrom="column">
                  <wp:posOffset>5682615</wp:posOffset>
                </wp:positionH>
                <wp:positionV relativeFrom="paragraph">
                  <wp:posOffset>64770</wp:posOffset>
                </wp:positionV>
                <wp:extent cx="238125" cy="6124575"/>
                <wp:effectExtent l="0" t="0" r="9525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504" w:rsidRDefault="00C74504" w:rsidP="00C74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D9E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7.45pt;margin-top:5.1pt;width:18.75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" stroked="f">
                <v:textbox>
                  <w:txbxContent>
                    <w:p w:rsidR="00C74504" w:rsidRDefault="00C74504" w:rsidP="00C74504"/>
                  </w:txbxContent>
                </v:textbox>
              </v:shape>
            </w:pict>
          </mc:Fallback>
        </mc:AlternateContent>
      </w:r>
      <w:hyperlink w:anchor="_Toc450741527" w:history="1">
        <w:r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 Сравнительная характеристика совокупного годового дохода и итогового дохода в финансовом учете</w:t>
        </w:r>
      </w:hyperlink>
    </w:p>
    <w:p w:rsidR="00C74504" w:rsidRPr="008B1333" w:rsidRDefault="008C059B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450741528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1.3 Основы и принципы учета совокупного годового дохода</w:t>
        </w:r>
      </w:hyperlink>
    </w:p>
    <w:p w:rsidR="00C74504" w:rsidRPr="008B1333" w:rsidRDefault="00C74504" w:rsidP="00C74504">
      <w:pPr>
        <w:spacing w:after="0" w:line="240" w:lineRule="auto"/>
        <w:rPr>
          <w:noProof/>
          <w:sz w:val="28"/>
          <w:szCs w:val="28"/>
        </w:rPr>
      </w:pPr>
    </w:p>
    <w:p w:rsidR="00C74504" w:rsidRPr="008B1333" w:rsidRDefault="008C059B" w:rsidP="00C74504">
      <w:pPr>
        <w:pStyle w:val="11"/>
        <w:tabs>
          <w:tab w:val="right" w:leader="dot" w:pos="9628"/>
        </w:tabs>
        <w:spacing w:after="0" w:line="240" w:lineRule="auto"/>
        <w:ind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29" w:history="1">
        <w:r w:rsidR="00C74504" w:rsidRPr="008B1333">
          <w:rPr>
            <w:rStyle w:val="a3"/>
            <w:rFonts w:ascii="Times New Roman" w:hAnsi="Times New Roman" w:cs="Times New Roman"/>
            <w:caps/>
            <w:noProof/>
            <w:sz w:val="28"/>
            <w:szCs w:val="28"/>
          </w:rPr>
          <w:t>2 Практика формирования совокупного годового дохода на примере ТОО «»</w:t>
        </w:r>
      </w:hyperlink>
      <w:r w:rsidR="00C74504" w:rsidRPr="008B133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4504" w:rsidRPr="008B1333" w:rsidRDefault="008C059B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30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Формирование и учет основных источников в совокупном годовом доходе организации</w:t>
        </w:r>
      </w:hyperlink>
    </w:p>
    <w:p w:rsidR="00C74504" w:rsidRPr="008B1333" w:rsidRDefault="008C059B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31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Формирование и отражение информации о совокупном годовом доходе в Декларации</w:t>
        </w:r>
      </w:hyperlink>
    </w:p>
    <w:p w:rsidR="00C74504" w:rsidRPr="008B1333" w:rsidRDefault="008C059B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32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2.3 Аудиторская проверка формирования и учета совокупного годового дохода</w:t>
        </w:r>
      </w:hyperlink>
    </w:p>
    <w:p w:rsidR="00C74504" w:rsidRPr="008B1333" w:rsidRDefault="008C059B" w:rsidP="00C74504">
      <w:pPr>
        <w:pStyle w:val="2"/>
        <w:tabs>
          <w:tab w:val="right" w:leader="dot" w:pos="9628"/>
        </w:tabs>
        <w:spacing w:after="0" w:line="240" w:lineRule="auto"/>
        <w:ind w:left="0" w:right="709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450741533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2.4 Анализ основных источников совокупного годового дохода и мероприятия по их совершению</w:t>
        </w:r>
      </w:hyperlink>
    </w:p>
    <w:p w:rsidR="00C74504" w:rsidRPr="008B1333" w:rsidRDefault="00C74504" w:rsidP="00C74504">
      <w:pPr>
        <w:spacing w:after="0" w:line="240" w:lineRule="auto"/>
        <w:rPr>
          <w:noProof/>
          <w:sz w:val="28"/>
          <w:szCs w:val="28"/>
        </w:rPr>
      </w:pPr>
    </w:p>
    <w:p w:rsidR="00C74504" w:rsidRPr="008B1333" w:rsidRDefault="008C059B" w:rsidP="00C74504">
      <w:pPr>
        <w:pStyle w:val="11"/>
        <w:tabs>
          <w:tab w:val="right" w:leader="dot" w:pos="9628"/>
        </w:tabs>
        <w:spacing w:after="0" w:line="240" w:lineRule="auto"/>
        <w:ind w:right="709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450741534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</w:hyperlink>
    </w:p>
    <w:p w:rsidR="00C74504" w:rsidRPr="008B1333" w:rsidRDefault="00C74504" w:rsidP="00C74504">
      <w:pPr>
        <w:spacing w:after="0" w:line="240" w:lineRule="auto"/>
        <w:rPr>
          <w:noProof/>
          <w:sz w:val="28"/>
          <w:szCs w:val="28"/>
        </w:rPr>
      </w:pPr>
    </w:p>
    <w:p w:rsidR="00C74504" w:rsidRPr="008B1333" w:rsidRDefault="008C059B" w:rsidP="00C74504">
      <w:pPr>
        <w:pStyle w:val="11"/>
        <w:tabs>
          <w:tab w:val="right" w:leader="dot" w:pos="9628"/>
        </w:tabs>
        <w:spacing w:after="0" w:line="240" w:lineRule="auto"/>
        <w:ind w:right="709"/>
        <w:rPr>
          <w:rStyle w:val="a3"/>
          <w:rFonts w:ascii="Times New Roman" w:hAnsi="Times New Roman" w:cs="Times New Roman"/>
          <w:noProof/>
          <w:sz w:val="28"/>
          <w:szCs w:val="28"/>
        </w:rPr>
      </w:pPr>
      <w:hyperlink w:anchor="_Toc450741535" w:history="1">
        <w:r w:rsidR="00C74504" w:rsidRPr="008B1333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C74504" w:rsidRPr="008B1333" w:rsidRDefault="00C74504" w:rsidP="00C74504">
      <w:pPr>
        <w:spacing w:after="0" w:line="240" w:lineRule="auto"/>
        <w:rPr>
          <w:noProof/>
          <w:sz w:val="28"/>
          <w:szCs w:val="28"/>
        </w:rPr>
      </w:pPr>
    </w:p>
    <w:p w:rsidR="00C74504" w:rsidRPr="008B1333" w:rsidRDefault="008C059B" w:rsidP="00C74504">
      <w:pPr>
        <w:pStyle w:val="11"/>
        <w:tabs>
          <w:tab w:val="right" w:leader="dot" w:pos="9628"/>
        </w:tabs>
        <w:spacing w:after="0" w:line="240" w:lineRule="auto"/>
        <w:ind w:right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50741536" w:history="1"/>
    </w:p>
    <w:p w:rsidR="00C74504" w:rsidRDefault="00C74504" w:rsidP="00C74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33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C74504" w:rsidRDefault="00C745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74504" w:rsidRPr="008C059B" w:rsidRDefault="00C74504" w:rsidP="008C059B">
      <w:pPr>
        <w:rPr>
          <w:rFonts w:ascii="Times New Roman" w:hAnsi="Times New Roman" w:cs="Times New Roman"/>
          <w:sz w:val="28"/>
        </w:rPr>
      </w:pPr>
      <w:bookmarkStart w:id="0" w:name="_Toc450741534"/>
      <w:r w:rsidRPr="008C059B">
        <w:rPr>
          <w:rFonts w:ascii="Times New Roman" w:hAnsi="Times New Roman" w:cs="Times New Roman"/>
          <w:sz w:val="28"/>
        </w:rPr>
        <w:lastRenderedPageBreak/>
        <w:t>Заключение</w:t>
      </w:r>
      <w:bookmarkEnd w:id="0"/>
    </w:p>
    <w:p w:rsidR="00C74504" w:rsidRDefault="00C74504" w:rsidP="00C74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04" w:rsidRDefault="00C74504" w:rsidP="00C74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04" w:rsidRPr="00252AC5" w:rsidRDefault="00C74504" w:rsidP="00C74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52AC5">
        <w:rPr>
          <w:rFonts w:ascii="Times New Roman" w:hAnsi="Times New Roman" w:cs="Times New Roman"/>
          <w:noProof/>
          <w:color w:val="000000"/>
          <w:sz w:val="28"/>
          <w:szCs w:val="28"/>
        </w:rPr>
        <w:t>В результате проведенного исследования можно сформулировать следующие выводы и предложения:</w:t>
      </w:r>
    </w:p>
    <w:p w:rsidR="00C74504" w:rsidRPr="00252AC5" w:rsidRDefault="00C74504" w:rsidP="00C74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52AC5">
        <w:rPr>
          <w:rFonts w:ascii="Times New Roman" w:hAnsi="Times New Roman" w:cs="Times New Roman"/>
          <w:noProof/>
          <w:color w:val="000000"/>
          <w:sz w:val="28"/>
          <w:szCs w:val="28"/>
        </w:rPr>
        <w:t>1) Основным объектом обложения является налогооблагаемый доход, определяемый как разница между совокупным годовым доходом (СГД) и законодательно установленными вычетами. Совокупным годовым доходом является годовой доход юридического лица-резидента из разных источников. Сюда включаются: доход от реализации продукции, работ и услуг, доход от прироста стоимости при реализации зданий и других активов, доходы от списания обязательств, доходы от сдачи в аренду имущества, безвозмездно полученное имущество, выполненные работы, предоставленные услуги, положительная курсовая разница, полученные суммы по санкциям (штрафом, пени и др.), дивиденды, вознаграждение (интерес) банков, выигрыши, роялти, доходы от снижения размеров провизии банков и страховых резервов страховых организаций, некоторые другие доходы, поступления и суммы.</w:t>
      </w:r>
    </w:p>
    <w:p w:rsidR="00C74504" w:rsidRDefault="00C74504">
      <w:r>
        <w:br w:type="page"/>
      </w:r>
    </w:p>
    <w:p w:rsidR="00C74504" w:rsidRPr="00562767" w:rsidRDefault="00C74504" w:rsidP="00C74504">
      <w:pPr>
        <w:pStyle w:val="1"/>
      </w:pPr>
      <w:bookmarkStart w:id="1" w:name="_Toc450741535"/>
      <w:r w:rsidRPr="00562767">
        <w:lastRenderedPageBreak/>
        <w:t>Список использованной литературы</w:t>
      </w:r>
      <w:bookmarkEnd w:id="1"/>
    </w:p>
    <w:p w:rsidR="00C74504" w:rsidRPr="003E0ECA" w:rsidRDefault="00C74504" w:rsidP="00C7450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04" w:rsidRPr="003E0ECA" w:rsidRDefault="00C74504" w:rsidP="00C74504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  <w:bookmarkStart w:id="2" w:name="_GoBack"/>
    </w:p>
    <w:p w:rsidR="00C74504" w:rsidRPr="003E0ECA" w:rsidRDefault="00C74504" w:rsidP="00C74504">
      <w:pPr>
        <w:widowControl w:val="0"/>
        <w:numPr>
          <w:ilvl w:val="0"/>
          <w:numId w:val="1"/>
        </w:numPr>
        <w:tabs>
          <w:tab w:val="clear" w:pos="1770"/>
          <w:tab w:val="left" w:pos="894"/>
          <w:tab w:val="num" w:pos="13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87">
        <w:rPr>
          <w:rFonts w:ascii="Times New Roman" w:hAnsi="Times New Roman" w:cs="Times New Roman"/>
          <w:sz w:val="28"/>
          <w:szCs w:val="28"/>
        </w:rPr>
        <w:t>Кодекс Республики Казахстан об административных правонарушениях от 30.01.01 г. № 156-II (</w:t>
      </w:r>
      <w:r w:rsidRPr="003E0ECA">
        <w:rPr>
          <w:rFonts w:ascii="Times New Roman" w:hAnsi="Times New Roman" w:cs="Times New Roman"/>
          <w:sz w:val="28"/>
          <w:szCs w:val="28"/>
        </w:rPr>
        <w:t>с</w:t>
      </w:r>
      <w:bookmarkStart w:id="3" w:name="SUB1000969440"/>
      <w:r w:rsidRPr="003E0ECA">
        <w:rPr>
          <w:rFonts w:ascii="Times New Roman" w:hAnsi="Times New Roman" w:cs="Times New Roman"/>
          <w:sz w:val="28"/>
          <w:szCs w:val="28"/>
        </w:rPr>
        <w:t xml:space="preserve"> изменениями и дополнениями</w:t>
      </w:r>
      <w:bookmarkEnd w:id="3"/>
      <w:r w:rsidRPr="003E0ECA">
        <w:rPr>
          <w:rFonts w:ascii="Times New Roman" w:hAnsi="Times New Roman" w:cs="Times New Roman"/>
          <w:sz w:val="28"/>
          <w:szCs w:val="28"/>
        </w:rPr>
        <w:t xml:space="preserve"> по состоянию на 14.01.2016 г.</w:t>
      </w:r>
      <w:r w:rsidRPr="007B5487">
        <w:rPr>
          <w:rFonts w:ascii="Times New Roman" w:hAnsi="Times New Roman" w:cs="Times New Roman"/>
          <w:sz w:val="28"/>
          <w:szCs w:val="28"/>
        </w:rPr>
        <w:t>)</w:t>
      </w:r>
    </w:p>
    <w:p w:rsidR="00C74504" w:rsidRPr="003E0ECA" w:rsidRDefault="00C74504" w:rsidP="00C74504">
      <w:pPr>
        <w:widowControl w:val="0"/>
        <w:numPr>
          <w:ilvl w:val="0"/>
          <w:numId w:val="1"/>
        </w:numPr>
        <w:tabs>
          <w:tab w:val="clear" w:pos="1770"/>
          <w:tab w:val="left" w:pos="894"/>
          <w:tab w:val="num" w:pos="13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Налоги и налогообложение: конспект лекций / А. П. </w:t>
      </w:r>
      <w:proofErr w:type="spellStart"/>
      <w:r w:rsidRPr="003E0ECA">
        <w:rPr>
          <w:rFonts w:ascii="Times New Roman" w:hAnsi="Times New Roman" w:cs="Times New Roman"/>
          <w:sz w:val="28"/>
          <w:szCs w:val="28"/>
        </w:rPr>
        <w:t>Зрелов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 xml:space="preserve">. - 5-е ни., </w:t>
      </w:r>
      <w:proofErr w:type="spellStart"/>
      <w:r w:rsidRPr="003E0EC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 xml:space="preserve">. и доп. - М.: Издательство </w:t>
      </w:r>
      <w:proofErr w:type="spellStart"/>
      <w:proofErr w:type="gramStart"/>
      <w:r w:rsidRPr="003E0EC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0ECA">
        <w:rPr>
          <w:rFonts w:ascii="Times New Roman" w:hAnsi="Times New Roman" w:cs="Times New Roman"/>
          <w:sz w:val="28"/>
          <w:szCs w:val="28"/>
        </w:rPr>
        <w:t xml:space="preserve"> ИД </w:t>
      </w:r>
      <w:proofErr w:type="spellStart"/>
      <w:r w:rsidRPr="003E0EC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>, 2010. -147 с.</w:t>
      </w:r>
    </w:p>
    <w:p w:rsidR="00C74504" w:rsidRPr="003E0ECA" w:rsidRDefault="00C74504" w:rsidP="00C74504">
      <w:pPr>
        <w:widowControl w:val="0"/>
        <w:numPr>
          <w:ilvl w:val="0"/>
          <w:numId w:val="1"/>
        </w:numPr>
        <w:tabs>
          <w:tab w:val="clear" w:pos="1770"/>
          <w:tab w:val="left" w:pos="894"/>
          <w:tab w:val="num" w:pos="13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CA">
        <w:rPr>
          <w:rFonts w:ascii="Times New Roman" w:hAnsi="Times New Roman" w:cs="Times New Roman"/>
          <w:sz w:val="28"/>
          <w:szCs w:val="28"/>
        </w:rPr>
        <w:t>Нурумов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E0ECA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 xml:space="preserve"> А.С. Налоги и налогообложение: учебник. – Астана: Изд. </w:t>
      </w:r>
      <w:proofErr w:type="spellStart"/>
      <w:r w:rsidRPr="003E0ECA">
        <w:rPr>
          <w:rFonts w:ascii="Times New Roman" w:hAnsi="Times New Roman" w:cs="Times New Roman"/>
          <w:sz w:val="28"/>
          <w:szCs w:val="28"/>
        </w:rPr>
        <w:t>КазУЭФМТ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>, 2009. – 583 с.</w:t>
      </w:r>
    </w:p>
    <w:p w:rsidR="00C74504" w:rsidRPr="003E0ECA" w:rsidRDefault="00C74504" w:rsidP="00C74504">
      <w:pPr>
        <w:widowControl w:val="0"/>
        <w:numPr>
          <w:ilvl w:val="0"/>
          <w:numId w:val="1"/>
        </w:numPr>
        <w:tabs>
          <w:tab w:val="clear" w:pos="1770"/>
          <w:tab w:val="left" w:pos="894"/>
          <w:tab w:val="num" w:pos="13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Кодекс Республики Казахстан об административных правонарушениях от 30.01.01 г. № 156-II (с </w:t>
      </w:r>
      <w:bookmarkStart w:id="4" w:name="sub1000366932"/>
      <w:r w:rsidRPr="003E0ECA">
        <w:rPr>
          <w:rFonts w:ascii="Times New Roman" w:hAnsi="Times New Roman" w:cs="Times New Roman"/>
          <w:sz w:val="28"/>
          <w:szCs w:val="28"/>
        </w:rPr>
        <w:fldChar w:fldCharType="begin"/>
      </w:r>
      <w:r w:rsidRPr="003E0ECA">
        <w:rPr>
          <w:rFonts w:ascii="Times New Roman" w:hAnsi="Times New Roman" w:cs="Times New Roman"/>
          <w:sz w:val="28"/>
          <w:szCs w:val="28"/>
        </w:rPr>
        <w:instrText xml:space="preserve"> HYPERLINK "jl:2021682.0 " </w:instrText>
      </w:r>
      <w:r w:rsidRPr="003E0ECA">
        <w:rPr>
          <w:rFonts w:ascii="Times New Roman" w:hAnsi="Times New Roman" w:cs="Times New Roman"/>
          <w:sz w:val="28"/>
          <w:szCs w:val="28"/>
        </w:rPr>
        <w:fldChar w:fldCharType="separate"/>
      </w:r>
      <w:r w:rsidRPr="003E0ECA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r w:rsidRPr="003E0ECA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3E0ECA">
        <w:rPr>
          <w:rFonts w:ascii="Times New Roman" w:hAnsi="Times New Roman" w:cs="Times New Roman"/>
          <w:sz w:val="28"/>
          <w:szCs w:val="28"/>
        </w:rPr>
        <w:t xml:space="preserve"> по состоянию на 17.11.2014 г.)</w:t>
      </w:r>
    </w:p>
    <w:p w:rsidR="00C74504" w:rsidRPr="003E0ECA" w:rsidRDefault="00C74504" w:rsidP="00C74504">
      <w:pPr>
        <w:widowControl w:val="0"/>
        <w:numPr>
          <w:ilvl w:val="0"/>
          <w:numId w:val="1"/>
        </w:numPr>
        <w:tabs>
          <w:tab w:val="clear" w:pos="1770"/>
          <w:tab w:val="left" w:pos="894"/>
          <w:tab w:val="num" w:pos="13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CA">
        <w:rPr>
          <w:rFonts w:ascii="Times New Roman" w:hAnsi="Times New Roman" w:cs="Times New Roman"/>
          <w:sz w:val="28"/>
          <w:szCs w:val="28"/>
        </w:rPr>
        <w:t>Бекболсынова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 xml:space="preserve"> А.С. Налоги и налогообложение. / Учебное пособие. – Астана: BG-</w:t>
      </w:r>
      <w:proofErr w:type="spellStart"/>
      <w:r w:rsidRPr="003E0ECA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3E0ECA">
        <w:rPr>
          <w:rFonts w:ascii="Times New Roman" w:hAnsi="Times New Roman" w:cs="Times New Roman"/>
          <w:sz w:val="28"/>
          <w:szCs w:val="28"/>
        </w:rPr>
        <w:t>, 2007. – 376с.</w:t>
      </w:r>
    </w:p>
    <w:bookmarkEnd w:id="2"/>
    <w:p w:rsidR="00C74504" w:rsidRDefault="00C74504" w:rsidP="00C74504"/>
    <w:sectPr w:rsidR="00C7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966"/>
    <w:multiLevelType w:val="hybridMultilevel"/>
    <w:tmpl w:val="CC3A726E"/>
    <w:lvl w:ilvl="0" w:tplc="D66C97F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12"/>
    <w:rsid w:val="005E2912"/>
    <w:rsid w:val="00704E55"/>
    <w:rsid w:val="008C059B"/>
    <w:rsid w:val="00C74504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550F"/>
  <w15:chartTrackingRefBased/>
  <w15:docId w15:val="{5A23CA48-F8D3-4870-A22C-AC329E75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504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C74504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C74504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C7450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4504"/>
    <w:rPr>
      <w:rFonts w:ascii="Times New Roman" w:eastAsiaTheme="majorEastAsia" w:hAnsi="Times New Roman" w:cstheme="majorBidi"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2017-03-20T06:42:00Z</dcterms:created>
  <dcterms:modified xsi:type="dcterms:W3CDTF">2017-04-18T05:41:00Z</dcterms:modified>
</cp:coreProperties>
</file>