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91" w:rsidRDefault="00BF602B" w:rsidP="00BF602B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Финансовая несостоятельность как основание для ликвидации юридических лиц</w:t>
      </w:r>
    </w:p>
    <w:p w:rsidR="00BF602B" w:rsidRDefault="00BF602B" w:rsidP="00BF602B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СТР_63</w:t>
      </w:r>
    </w:p>
    <w:p w:rsidR="00BF602B" w:rsidRPr="00BF602B" w:rsidRDefault="00BF602B" w:rsidP="00BF602B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5" w:anchor="_Toc37188081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Введение</w:t>
        </w:r>
      </w:hyperlink>
    </w:p>
    <w:p w:rsidR="00BF602B" w:rsidRPr="00BF602B" w:rsidRDefault="00BF602B" w:rsidP="00BF602B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6" w:anchor="_Toc37188082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1 Теоретические основы финансовой несостоятельности хозяйствующих субъектов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7" w:anchor="_Toc37188083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1.1 Сущность несостоятельности, виды, последствия и причины банкротства предприятий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8" w:anchor="_Toc37188084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1.2 </w:t>
        </w:r>
        <w:r w:rsidRPr="00BF602B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Критерии банкротства как способа прекращения деятельности юридического лица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9" w:anchor="_Toc37188085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1.3 Методы диагностики вероятности банкротства предприятия</w:t>
        </w:r>
      </w:hyperlink>
    </w:p>
    <w:p w:rsidR="00BF602B" w:rsidRPr="00BF602B" w:rsidRDefault="00BF602B" w:rsidP="00BF602B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0" w:anchor="_Toc37188086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2 Анализ финансовой несостоятельности предприятия на примере ТОО 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1" w:anchor="_Toc37188087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2.1 Общая характеристика деятельности ТОО 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2" w:anchor="_Toc37188088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2.2 Анализ финансового состояния предприятия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3" w:anchor="_Toc37188089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2.3 Оценка вероятности банкротства (несостоятельности) предприятия</w:t>
        </w:r>
      </w:hyperlink>
    </w:p>
    <w:p w:rsidR="00BF602B" w:rsidRPr="00BF602B" w:rsidRDefault="00BF602B" w:rsidP="00BF602B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4" w:anchor="_Toc37188090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3 </w:t>
        </w:r>
        <w:r w:rsidRPr="00BF602B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Порядок рассмотрения дел связанных с банкротством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5" w:anchor="_Toc37188091" w:history="1">
        <w:r w:rsidRPr="00BF602B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Проблемы института банкротства юридического лица</w:t>
        </w:r>
      </w:hyperlink>
    </w:p>
    <w:p w:rsidR="00BF602B" w:rsidRPr="00BF602B" w:rsidRDefault="00BF602B" w:rsidP="00BF602B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6" w:anchor="_Toc37188092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4 Разработка рекомендаций по стабилизации финансового состояния ТОО 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7" w:anchor="_Toc37188093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4.1 Совершенствование системы регулирования банкротств предприятий Республики Казахстан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8" w:anchor="_Toc37188094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4.2 Рекомендуемые мероприятия по повышению ликвидности, финансовой устойчивости и эффективности деятельности предприятия</w:t>
        </w:r>
      </w:hyperlink>
    </w:p>
    <w:p w:rsidR="00BF602B" w:rsidRPr="00BF602B" w:rsidRDefault="00BF602B" w:rsidP="00BF602B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9" w:anchor="_Toc37188095" w:history="1">
        <w:r w:rsidRPr="00BF602B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4.3 Влияние факторов на показатели финансового состояния ТОО </w:t>
        </w:r>
      </w:hyperlink>
    </w:p>
    <w:p w:rsidR="00BF602B" w:rsidRPr="00BF602B" w:rsidRDefault="00BF602B" w:rsidP="00BF602B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20" w:anchor="_Toc37188096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Заключение</w:t>
        </w:r>
      </w:hyperlink>
    </w:p>
    <w:p w:rsidR="00BF602B" w:rsidRPr="00BF602B" w:rsidRDefault="00BF602B" w:rsidP="00BF602B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21" w:anchor="_Toc37188097" w:history="1">
        <w:r w:rsidRPr="00BF602B">
          <w:rPr>
            <w:rStyle w:val="a4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shd w:val="clear" w:color="auto" w:fill="FFFFFF"/>
          </w:rPr>
          <w:t>Список использованной литературы</w:t>
        </w:r>
      </w:hyperlink>
    </w:p>
    <w:p w:rsidR="00BF602B" w:rsidRDefault="00BF602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602B" w:rsidRDefault="00BF602B" w:rsidP="00BF602B">
      <w:pPr>
        <w:pStyle w:val="1"/>
        <w:rPr>
          <w:rStyle w:val="a3"/>
          <w:b w:val="0"/>
          <w:color w:val="auto"/>
          <w:szCs w:val="28"/>
          <w:shd w:val="clear" w:color="auto" w:fill="FFFFFF"/>
        </w:rPr>
      </w:pPr>
      <w:bookmarkStart w:id="0" w:name="_Toc37188096"/>
      <w:r>
        <w:rPr>
          <w:rStyle w:val="a3"/>
          <w:color w:val="auto"/>
          <w:szCs w:val="28"/>
          <w:shd w:val="clear" w:color="auto" w:fill="FFFFFF"/>
        </w:rPr>
        <w:lastRenderedPageBreak/>
        <w:t>Заключение</w:t>
      </w:r>
      <w:bookmarkEnd w:id="0"/>
    </w:p>
    <w:p w:rsidR="00BF602B" w:rsidRDefault="00BF602B" w:rsidP="00BF602B">
      <w:pPr>
        <w:pStyle w:val="a5"/>
        <w:widowControl w:val="0"/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F602B" w:rsidRDefault="00BF602B" w:rsidP="00BF602B">
      <w:pPr>
        <w:pStyle w:val="a5"/>
        <w:widowControl w:val="0"/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 исследование позволило сделать следующие выводы:</w:t>
      </w:r>
    </w:p>
    <w:p w:rsidR="00BF602B" w:rsidRDefault="00BF602B" w:rsidP="00BF602B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оценка литературных источников показала, что проблема неплатежеспособности, несостоятельности и банкротства должника, не исполняющего свои обязательства, - одна из наиболее актуальных проблем рыночной экономики. </w:t>
      </w:r>
      <w:r>
        <w:rPr>
          <w:rFonts w:ascii="Times New Roman" w:hAnsi="Times New Roman" w:cs="Times New Roman"/>
          <w:sz w:val="28"/>
          <w:szCs w:val="28"/>
        </w:rPr>
        <w:t xml:space="preserve">Несостоятельность является качественной характеристикой неэффективности бизнеса, внешней стороной которой выступает неплатежеспособность в виде неспособности должника выполнить свои обязательства и удовлетворить требования кредиторов на какую-то определенную дату. Несостоятельное положение предприятия может закончиться как банкротством, так и его оздоровлением (санацией). Если банкротство является негативным результатом несостоятельности бизнеса, то финансовое оздоровление - позитивным. Для определения кризисного или предкризисного состояния предприятия в основном используются три методики: расчет и мониторинг индекса кредитоспособности, комплекс неформальных и формальных критериев, анализ и прогнозирование критериев платежеспособности. Традиционная методология диагностики вероятности несостоятельности предприятия основана на финансовых показателях и соответственно финансовых методах.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исследования теоретических положений понятия «несостоятельность» и «банкротство» мы пришли к выводу о том, что эти понятия неоднозначны и их надо разделять. Поскольку </w:t>
      </w:r>
      <w:r>
        <w:rPr>
          <w:rFonts w:ascii="Times New Roman" w:hAnsi="Times New Roman" w:cs="Times New Roman"/>
          <w:sz w:val="28"/>
          <w:szCs w:val="28"/>
        </w:rPr>
        <w:t>согласно Закону РК от 7 марта 2014 года № 176-V «О реабилитации и банкротстве», несостоятельность –  это «установленная судом неспособность должника в полном объеме удовлетворить требования кредиторов по денежным обязательствам, произвести расчеты по оплате труда с лицами, работающими по трудовому договору, обеспечить уплату налогов и других обязательных платежей в бюджет, социальных отчислений в Государственный фонд социального страхования, а также обязательных пенсионных взносов и обязательных профессиональных пенсионных взносов». При этом согласно Закону «банкротство – это признанная решением суда несостоятельность должника, являющаяся основанием для его ликвидации».</w:t>
      </w:r>
    </w:p>
    <w:p w:rsidR="00BF602B" w:rsidRDefault="00BF602B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br w:type="page"/>
      </w:r>
    </w:p>
    <w:p w:rsidR="00BF602B" w:rsidRDefault="00BF602B" w:rsidP="00BF602B">
      <w:pPr>
        <w:pStyle w:val="1"/>
        <w:rPr>
          <w:rStyle w:val="a3"/>
          <w:b w:val="0"/>
          <w:color w:val="auto"/>
          <w:szCs w:val="28"/>
          <w:shd w:val="clear" w:color="auto" w:fill="FFFFFF"/>
        </w:rPr>
      </w:pPr>
      <w:bookmarkStart w:id="1" w:name="_Toc37188097"/>
      <w:r>
        <w:rPr>
          <w:rStyle w:val="a3"/>
          <w:color w:val="auto"/>
          <w:szCs w:val="28"/>
          <w:shd w:val="clear" w:color="auto" w:fill="FFFFFF"/>
        </w:rPr>
        <w:lastRenderedPageBreak/>
        <w:t>Список использованной литературы</w:t>
      </w:r>
      <w:bookmarkEnd w:id="1"/>
    </w:p>
    <w:p w:rsidR="00BF602B" w:rsidRDefault="00BF602B" w:rsidP="00BF602B">
      <w:pPr>
        <w:spacing w:after="0" w:line="240" w:lineRule="auto"/>
        <w:jc w:val="both"/>
        <w:rPr>
          <w:rStyle w:val="a3"/>
          <w:b w:val="0"/>
          <w:color w:val="333333"/>
          <w:sz w:val="28"/>
          <w:szCs w:val="28"/>
          <w:shd w:val="clear" w:color="auto" w:fill="FFFFFF"/>
        </w:rPr>
      </w:pPr>
    </w:p>
    <w:p w:rsidR="00BF602B" w:rsidRDefault="00BF602B" w:rsidP="00BF602B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Гиляровская Л.Т. Комплексный экономический ана</w:t>
      </w:r>
      <w:r>
        <w:rPr>
          <w:rFonts w:ascii="Times New Roman" w:hAnsi="Times New Roman" w:cs="Times New Roman"/>
          <w:sz w:val="28"/>
          <w:szCs w:val="28"/>
        </w:rPr>
        <w:softHyphen/>
        <w:t>лиз хозяйственной деятельности: учебник/Л.Т. Гиляровская. - М.: Проспект, 2015.</w:t>
      </w:r>
    </w:p>
    <w:p w:rsidR="00BF602B" w:rsidRDefault="00BF602B" w:rsidP="00BF602B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Методика финансового анализа деятельности коммерческих организаций: практическое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М.:ИНФРА</w:t>
      </w:r>
      <w:proofErr w:type="gramEnd"/>
      <w:r>
        <w:rPr>
          <w:rFonts w:ascii="Times New Roman" w:hAnsi="Times New Roman" w:cs="Times New Roman"/>
          <w:sz w:val="28"/>
          <w:szCs w:val="28"/>
        </w:rPr>
        <w:t>-М.2015. – 208 с.</w:t>
      </w:r>
    </w:p>
    <w:p w:rsidR="00BF602B" w:rsidRDefault="00BF602B" w:rsidP="00BF602B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Савицкая Г.В. Анализ хозяйственной деятельности предприятия: 6-е изд., </w:t>
      </w:r>
      <w:proofErr w:type="spellStart"/>
      <w:r>
        <w:rPr>
          <w:rFonts w:ascii="Times New Roman" w:hAnsi="Times New Roman" w:cs="Times New Roman"/>
          <w:spacing w:val="-6"/>
          <w:sz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pacing w:val="-6"/>
          <w:sz w:val="28"/>
        </w:rPr>
        <w:t>.</w:t>
      </w:r>
      <w:proofErr w:type="gramEnd"/>
      <w:r>
        <w:rPr>
          <w:rFonts w:ascii="Times New Roman" w:hAnsi="Times New Roman" w:cs="Times New Roman"/>
          <w:spacing w:val="-6"/>
          <w:sz w:val="28"/>
        </w:rPr>
        <w:t xml:space="preserve"> и доп. – Минск: «Новое знание», 2016 – 688с.</w:t>
      </w:r>
    </w:p>
    <w:p w:rsidR="00BF602B" w:rsidRDefault="00BF602B" w:rsidP="00BF602B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Артеменко В.Г., </w:t>
      </w:r>
      <w:proofErr w:type="spellStart"/>
      <w:r>
        <w:rPr>
          <w:rFonts w:ascii="Times New Roman" w:hAnsi="Times New Roman" w:cs="Times New Roman"/>
          <w:spacing w:val="-6"/>
          <w:sz w:val="28"/>
        </w:rPr>
        <w:t>Беллендир</w:t>
      </w:r>
      <w:proofErr w:type="spellEnd"/>
      <w:r>
        <w:rPr>
          <w:rFonts w:ascii="Times New Roman" w:hAnsi="Times New Roman" w:cs="Times New Roman"/>
          <w:spacing w:val="-6"/>
          <w:sz w:val="28"/>
        </w:rPr>
        <w:t xml:space="preserve"> М.В. Финансовый анализ: Учебное пособие - </w:t>
      </w:r>
      <w:proofErr w:type="gramStart"/>
      <w:r>
        <w:rPr>
          <w:rFonts w:ascii="Times New Roman" w:hAnsi="Times New Roman" w:cs="Times New Roman"/>
          <w:spacing w:val="-6"/>
          <w:sz w:val="28"/>
        </w:rPr>
        <w:t>М.:ДИС</w:t>
      </w:r>
      <w:proofErr w:type="gramEnd"/>
      <w:r>
        <w:rPr>
          <w:rFonts w:ascii="Times New Roman" w:hAnsi="Times New Roman" w:cs="Times New Roman"/>
          <w:spacing w:val="-6"/>
          <w:sz w:val="28"/>
        </w:rPr>
        <w:t>, 2017 – 128с.</w:t>
      </w:r>
    </w:p>
    <w:p w:rsidR="00BF602B" w:rsidRDefault="00BF602B" w:rsidP="00BF602B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Ансофф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Стратегическое управление. пер. с англ. - М.: Экономика, 2012. - 358 с.</w:t>
      </w:r>
    </w:p>
    <w:p w:rsidR="00BF602B" w:rsidRDefault="00BF602B" w:rsidP="00BF602B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bookmarkStart w:id="2" w:name="_GoBack"/>
      <w:bookmarkEnd w:id="2"/>
    </w:p>
    <w:p w:rsidR="00BF602B" w:rsidRDefault="00BF602B" w:rsidP="00BF602B"/>
    <w:sectPr w:rsidR="00BF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126"/>
    <w:multiLevelType w:val="hybridMultilevel"/>
    <w:tmpl w:val="51F245F8"/>
    <w:lvl w:ilvl="0" w:tplc="9FEA7F9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A47645"/>
    <w:multiLevelType w:val="hybridMultilevel"/>
    <w:tmpl w:val="F0C8BF56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5C"/>
    <w:rsid w:val="006A4C5C"/>
    <w:rsid w:val="00BF602B"/>
    <w:rsid w:val="00E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ED2"/>
  <w15:chartTrackingRefBased/>
  <w15:docId w15:val="{CEF9CF78-83AE-450A-85CF-4ABB950F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2B"/>
  </w:style>
  <w:style w:type="paragraph" w:styleId="1">
    <w:name w:val="heading 1"/>
    <w:basedOn w:val="a"/>
    <w:next w:val="a"/>
    <w:link w:val="10"/>
    <w:qFormat/>
    <w:rsid w:val="00BF602B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602B"/>
    <w:rPr>
      <w:b/>
      <w:bCs/>
    </w:rPr>
  </w:style>
  <w:style w:type="character" w:styleId="a4">
    <w:name w:val="Hyperlink"/>
    <w:basedOn w:val="a0"/>
    <w:uiPriority w:val="99"/>
    <w:semiHidden/>
    <w:unhideWhenUsed/>
    <w:rsid w:val="00BF602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F602B"/>
    <w:pPr>
      <w:spacing w:after="100" w:line="254" w:lineRule="auto"/>
    </w:pPr>
    <w:rPr>
      <w:rFonts w:ascii="Calibri" w:eastAsia="Calibri" w:hAnsi="Calibri" w:cs="SimSun"/>
    </w:rPr>
  </w:style>
  <w:style w:type="paragraph" w:styleId="2">
    <w:name w:val="toc 2"/>
    <w:basedOn w:val="a"/>
    <w:next w:val="a"/>
    <w:autoRedefine/>
    <w:uiPriority w:val="39"/>
    <w:semiHidden/>
    <w:unhideWhenUsed/>
    <w:rsid w:val="00BF602B"/>
    <w:pPr>
      <w:spacing w:after="100" w:line="254" w:lineRule="auto"/>
      <w:ind w:left="220"/>
    </w:pPr>
    <w:rPr>
      <w:rFonts w:ascii="Calibri" w:eastAsia="Calibri" w:hAnsi="Calibri" w:cs="SimSun"/>
    </w:rPr>
  </w:style>
  <w:style w:type="character" w:customStyle="1" w:styleId="10">
    <w:name w:val="Заголовок 1 Знак"/>
    <w:basedOn w:val="a0"/>
    <w:link w:val="1"/>
    <w:rsid w:val="00BF602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BF602B"/>
    <w:pPr>
      <w:spacing w:after="120" w:line="25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602B"/>
  </w:style>
  <w:style w:type="character" w:customStyle="1" w:styleId="a7">
    <w:name w:val="Абзац списка Знак"/>
    <w:aliases w:val="маркированный Знак,Абзац списка1 Знак"/>
    <w:link w:val="a8"/>
    <w:locked/>
    <w:rsid w:val="00BF602B"/>
    <w:rPr>
      <w:rFonts w:ascii="Calibri" w:eastAsia="Calibri" w:hAnsi="Calibri" w:cs="SimSun"/>
    </w:rPr>
  </w:style>
  <w:style w:type="paragraph" w:styleId="a8">
    <w:name w:val="List Paragraph"/>
    <w:aliases w:val="маркированный,Абзац списка1"/>
    <w:basedOn w:val="a"/>
    <w:link w:val="a7"/>
    <w:qFormat/>
    <w:rsid w:val="00BF602B"/>
    <w:pPr>
      <w:spacing w:line="254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3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8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7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2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7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20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1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5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5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9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14" Type="http://schemas.openxmlformats.org/officeDocument/2006/relationships/hyperlink" Target="file:///A:\&#1057;&#1077;&#1079;&#1086;&#1085;%202019-2020\&#1057;&#1062;&#1048;&#1044;\2020\&#1044;&#1080;&#1087;&#1083;&#1086;&#1084;&#1085;&#1099;&#1077;%20&#1088;&#1072;&#1073;&#1086;&#1090;&#1099;\&#1060;&#1080;&#1085;&#1072;&#1085;&#1089;&#1099;\&#1044;&#1088;_&#1060;&#1080;&#1085;&#1072;&#1085;&#1089;&#1086;&#1074;&#1072;&#1103;%20&#1085;&#1077;&#1089;&#1086;&#1089;&#1090;&#1086;&#1103;&#1090;&#1077;&#1083;&#1100;&#1085;&#1086;&#1089;&#1090;&#1100;%20&#1082;&#1072;&#1082;%20&#1086;&#1089;&#1085;&#1086;&#1074;&#1072;&#1085;&#1080;&#1077;%20&#1076;&#1083;&#1103;%20&#1083;&#1080;&#1082;&#1074;&#1080;&#1076;&#1072;&#1094;&#1080;&#1080;%20&#1102;&#1088;&#1080;&#1076;&#1080;&#1095;&#1077;&#1089;&#1082;&#1080;&#1093;%20&#1083;&#1080;&#1094;\&#1044;&#1088;_&#1060;&#1080;&#1085;&#1072;&#1085;&#1089;&#1086;&#1074;&#1072;&#1103;%20&#1085;&#1077;&#1089;&#1086;&#1089;&#1090;&#1086;&#1103;&#1090;&#1077;&#1083;&#1100;&#1085;&#1086;&#1089;&#1090;&#1100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2020-12-04T07:31:00Z</dcterms:created>
  <dcterms:modified xsi:type="dcterms:W3CDTF">2020-12-04T07:33:00Z</dcterms:modified>
</cp:coreProperties>
</file>