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6E3" w:rsidRDefault="00E016E3" w:rsidP="00E016E3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E016E3">
        <w:rPr>
          <w:rFonts w:ascii="Times New Roman" w:hAnsi="Times New Roman" w:cs="Times New Roman"/>
          <w:iCs/>
          <w:sz w:val="28"/>
          <w:szCs w:val="28"/>
        </w:rPr>
        <w:t>Др_</w:t>
      </w:r>
      <w:r w:rsidRPr="00E016E3">
        <w:rPr>
          <w:rFonts w:ascii="Times New Roman" w:hAnsi="Times New Roman" w:cs="Times New Roman"/>
          <w:iCs/>
          <w:sz w:val="28"/>
          <w:szCs w:val="28"/>
        </w:rPr>
        <w:t>Финансовая устойчивость страховых компаний, специали</w:t>
      </w:r>
      <w:r w:rsidRPr="00E016E3">
        <w:rPr>
          <w:rFonts w:ascii="Times New Roman" w:hAnsi="Times New Roman" w:cs="Times New Roman"/>
          <w:iCs/>
          <w:sz w:val="28"/>
          <w:szCs w:val="28"/>
        </w:rPr>
        <w:t>зирующихся на страховании жизни</w:t>
      </w:r>
    </w:p>
    <w:p w:rsidR="00E016E3" w:rsidRDefault="00E016E3" w:rsidP="00E016E3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Стр_54</w:t>
      </w:r>
    </w:p>
    <w:p w:rsidR="00E016E3" w:rsidRPr="00E016E3" w:rsidRDefault="00E016E3" w:rsidP="00E016E3">
      <w:pPr>
        <w:rPr>
          <w:rFonts w:ascii="Times New Roman" w:hAnsi="Times New Roman" w:cs="Times New Roman"/>
          <w:bCs/>
          <w:sz w:val="28"/>
          <w:szCs w:val="28"/>
        </w:rPr>
      </w:pPr>
    </w:p>
    <w:p w:rsidR="00E016E3" w:rsidRPr="00E016E3" w:rsidRDefault="00E016E3" w:rsidP="00E016E3">
      <w:pPr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E016E3">
        <w:rPr>
          <w:rFonts w:ascii="Times New Roman" w:eastAsia="Calibri" w:hAnsi="Times New Roman" w:cs="Times New Roman"/>
          <w:bCs/>
          <w:sz w:val="28"/>
          <w:szCs w:val="28"/>
        </w:rPr>
        <w:t>СОДЕРЖАНИЕ</w:t>
      </w:r>
    </w:p>
    <w:tbl>
      <w:tblPr>
        <w:tblStyle w:val="a3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817"/>
        <w:gridCol w:w="7938"/>
        <w:gridCol w:w="590"/>
      </w:tblGrid>
      <w:tr w:rsidR="00E016E3" w:rsidRPr="00E016E3" w:rsidTr="00E016E3">
        <w:tc>
          <w:tcPr>
            <w:tcW w:w="817" w:type="dxa"/>
          </w:tcPr>
          <w:p w:rsidR="00E016E3" w:rsidRPr="00E016E3" w:rsidRDefault="00E016E3" w:rsidP="00E016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938" w:type="dxa"/>
          </w:tcPr>
          <w:p w:rsidR="00E016E3" w:rsidRPr="00E016E3" w:rsidRDefault="00E016E3" w:rsidP="00E016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6E3">
              <w:rPr>
                <w:rFonts w:ascii="Times New Roman" w:eastAsia="Calibri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590" w:type="dxa"/>
          </w:tcPr>
          <w:p w:rsidR="00E016E3" w:rsidRPr="00E016E3" w:rsidRDefault="00E016E3" w:rsidP="00E016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016E3" w:rsidRPr="00E016E3" w:rsidTr="00E016E3">
        <w:tc>
          <w:tcPr>
            <w:tcW w:w="817" w:type="dxa"/>
          </w:tcPr>
          <w:p w:rsidR="00E016E3" w:rsidRPr="00E016E3" w:rsidRDefault="00E016E3" w:rsidP="00E016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938" w:type="dxa"/>
          </w:tcPr>
          <w:p w:rsidR="00E016E3" w:rsidRPr="00E016E3" w:rsidRDefault="00E016E3" w:rsidP="00E016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</w:tcPr>
          <w:p w:rsidR="00E016E3" w:rsidRPr="00E016E3" w:rsidRDefault="00E016E3" w:rsidP="00E016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016E3" w:rsidRPr="00E016E3" w:rsidTr="00E016E3">
        <w:tc>
          <w:tcPr>
            <w:tcW w:w="817" w:type="dxa"/>
          </w:tcPr>
          <w:p w:rsidR="00E016E3" w:rsidRPr="00E016E3" w:rsidRDefault="00E016E3" w:rsidP="00E016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016E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E016E3" w:rsidRPr="00E016E3" w:rsidRDefault="00E016E3" w:rsidP="00E016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6E3">
              <w:rPr>
                <w:rFonts w:ascii="Times New Roman" w:eastAsia="Calibri" w:hAnsi="Times New Roman" w:cs="Times New Roman"/>
                <w:sz w:val="28"/>
                <w:szCs w:val="28"/>
              </w:rPr>
              <w:t>ТЕОРЕТИЧЕСКИЕ АСПЕКТЫ ОБЕСПЕЧЕНИЯ ФИНАНСОВОЙ УСТОЙЧИВОСТИ СТРАХОВЫХ КОМПАНИЙ ПО СТРАХОВАНИЮ ЖИЗНИ</w:t>
            </w:r>
          </w:p>
        </w:tc>
        <w:tc>
          <w:tcPr>
            <w:tcW w:w="590" w:type="dxa"/>
          </w:tcPr>
          <w:p w:rsidR="00E016E3" w:rsidRPr="00E016E3" w:rsidRDefault="00E016E3" w:rsidP="00E016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016E3" w:rsidRPr="00E016E3" w:rsidTr="00E016E3">
        <w:tc>
          <w:tcPr>
            <w:tcW w:w="817" w:type="dxa"/>
          </w:tcPr>
          <w:p w:rsidR="00E016E3" w:rsidRPr="00E016E3" w:rsidRDefault="00E016E3" w:rsidP="00E016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6E3"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7938" w:type="dxa"/>
          </w:tcPr>
          <w:p w:rsidR="00E016E3" w:rsidRPr="00E016E3" w:rsidRDefault="00E016E3" w:rsidP="00E016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6E3">
              <w:rPr>
                <w:rFonts w:ascii="Times New Roman" w:eastAsia="Calibri" w:hAnsi="Times New Roman" w:cs="Times New Roman"/>
                <w:sz w:val="28"/>
                <w:szCs w:val="28"/>
              </w:rPr>
              <w:t>Особенности деятельности страховых компаний, специализирующихся на страховании жизни</w:t>
            </w:r>
          </w:p>
        </w:tc>
        <w:tc>
          <w:tcPr>
            <w:tcW w:w="590" w:type="dxa"/>
          </w:tcPr>
          <w:p w:rsidR="00E016E3" w:rsidRPr="00E016E3" w:rsidRDefault="00E016E3" w:rsidP="00E016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016E3" w:rsidRPr="00E016E3" w:rsidTr="00E016E3">
        <w:tc>
          <w:tcPr>
            <w:tcW w:w="817" w:type="dxa"/>
          </w:tcPr>
          <w:p w:rsidR="00E016E3" w:rsidRPr="00E016E3" w:rsidRDefault="00E016E3" w:rsidP="00E016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6E3"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7938" w:type="dxa"/>
          </w:tcPr>
          <w:p w:rsidR="00E016E3" w:rsidRPr="00E016E3" w:rsidRDefault="00E016E3" w:rsidP="00E016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6E3">
              <w:rPr>
                <w:rFonts w:ascii="Times New Roman" w:eastAsia="Calibri" w:hAnsi="Times New Roman" w:cs="Times New Roman"/>
                <w:sz w:val="28"/>
                <w:szCs w:val="28"/>
              </w:rPr>
              <w:t>Понятие финансовой устойчивости страховых компаний по страхованию жизни</w:t>
            </w:r>
          </w:p>
        </w:tc>
        <w:tc>
          <w:tcPr>
            <w:tcW w:w="590" w:type="dxa"/>
          </w:tcPr>
          <w:p w:rsidR="00E016E3" w:rsidRPr="00E016E3" w:rsidRDefault="00E016E3" w:rsidP="00E016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016E3" w:rsidRPr="00E016E3" w:rsidTr="00E016E3">
        <w:tc>
          <w:tcPr>
            <w:tcW w:w="817" w:type="dxa"/>
          </w:tcPr>
          <w:p w:rsidR="00E016E3" w:rsidRPr="00E016E3" w:rsidRDefault="00E016E3" w:rsidP="00E016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6E3">
              <w:rPr>
                <w:rFonts w:ascii="Times New Roman" w:eastAsia="Calibri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7938" w:type="dxa"/>
          </w:tcPr>
          <w:p w:rsidR="00E016E3" w:rsidRPr="00E016E3" w:rsidRDefault="00E016E3" w:rsidP="00E016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6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Классификация факторов, влияющих на финансовую устойчивость страховых компаний по страхованию жизни </w:t>
            </w:r>
          </w:p>
        </w:tc>
        <w:tc>
          <w:tcPr>
            <w:tcW w:w="590" w:type="dxa"/>
          </w:tcPr>
          <w:p w:rsidR="00E016E3" w:rsidRPr="00E016E3" w:rsidRDefault="00E016E3" w:rsidP="00E016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016E3" w:rsidRPr="00E016E3" w:rsidTr="00E016E3">
        <w:tc>
          <w:tcPr>
            <w:tcW w:w="817" w:type="dxa"/>
          </w:tcPr>
          <w:p w:rsidR="00E016E3" w:rsidRPr="00E016E3" w:rsidRDefault="00E016E3" w:rsidP="00E016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E016E3" w:rsidRPr="00E016E3" w:rsidRDefault="00E016E3" w:rsidP="00E016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</w:tcPr>
          <w:p w:rsidR="00E016E3" w:rsidRPr="00E016E3" w:rsidRDefault="00E016E3" w:rsidP="00E016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016E3" w:rsidRPr="00E016E3" w:rsidTr="00E016E3">
        <w:tc>
          <w:tcPr>
            <w:tcW w:w="817" w:type="dxa"/>
          </w:tcPr>
          <w:p w:rsidR="00E016E3" w:rsidRPr="00E016E3" w:rsidRDefault="00E016E3" w:rsidP="00E016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6E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E016E3" w:rsidRPr="00E016E3" w:rsidRDefault="00E016E3" w:rsidP="00E016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6E3">
              <w:rPr>
                <w:rFonts w:ascii="Times New Roman" w:eastAsia="Calibri" w:hAnsi="Times New Roman" w:cs="Times New Roman"/>
                <w:sz w:val="28"/>
                <w:szCs w:val="28"/>
              </w:rPr>
              <w:t>АНАЛИЗ ФИНАНСОВОЙ УСТОЙЧИВОСТИ СТРАХОВЫХ КОМПАНИЙ ПО СТРАХОВАНИЮ ЖИЗНИ В КАЗАХСТАНЕ</w:t>
            </w:r>
          </w:p>
        </w:tc>
        <w:tc>
          <w:tcPr>
            <w:tcW w:w="590" w:type="dxa"/>
          </w:tcPr>
          <w:p w:rsidR="00E016E3" w:rsidRPr="00E016E3" w:rsidRDefault="00E016E3" w:rsidP="00E016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016E3" w:rsidRPr="00E016E3" w:rsidTr="00E016E3">
        <w:tc>
          <w:tcPr>
            <w:tcW w:w="817" w:type="dxa"/>
          </w:tcPr>
          <w:p w:rsidR="00E016E3" w:rsidRPr="00E016E3" w:rsidRDefault="00E016E3" w:rsidP="00E016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6E3">
              <w:rPr>
                <w:rFonts w:ascii="Times New Roman" w:eastAsia="Calibri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7938" w:type="dxa"/>
          </w:tcPr>
          <w:p w:rsidR="00E016E3" w:rsidRPr="00E016E3" w:rsidRDefault="00E016E3" w:rsidP="007945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6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Общая характеристика деятельности страховой компании </w:t>
            </w:r>
          </w:p>
        </w:tc>
        <w:tc>
          <w:tcPr>
            <w:tcW w:w="590" w:type="dxa"/>
          </w:tcPr>
          <w:p w:rsidR="00E016E3" w:rsidRPr="00E016E3" w:rsidRDefault="00E016E3" w:rsidP="00E016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016E3" w:rsidRPr="00E016E3" w:rsidTr="00E016E3">
        <w:tc>
          <w:tcPr>
            <w:tcW w:w="817" w:type="dxa"/>
          </w:tcPr>
          <w:p w:rsidR="00E016E3" w:rsidRPr="00E016E3" w:rsidRDefault="00E016E3" w:rsidP="00E016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6E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  <w:r w:rsidRPr="00E016E3">
              <w:rPr>
                <w:rFonts w:ascii="Times New Roman" w:eastAsia="Calibri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7938" w:type="dxa"/>
          </w:tcPr>
          <w:p w:rsidR="00E016E3" w:rsidRPr="00E016E3" w:rsidRDefault="00E016E3" w:rsidP="00E016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6E3">
              <w:rPr>
                <w:rFonts w:ascii="Times New Roman" w:eastAsia="Calibri" w:hAnsi="Times New Roman" w:cs="Times New Roman"/>
                <w:sz w:val="28"/>
                <w:szCs w:val="28"/>
              </w:rPr>
              <w:t>Анализ финансовых показателей деятельности страховых компаний по страхованию жизни в Казахстане</w:t>
            </w:r>
          </w:p>
        </w:tc>
        <w:tc>
          <w:tcPr>
            <w:tcW w:w="590" w:type="dxa"/>
          </w:tcPr>
          <w:p w:rsidR="00E016E3" w:rsidRPr="00E016E3" w:rsidRDefault="00E016E3" w:rsidP="00E016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016E3" w:rsidRPr="00E016E3" w:rsidTr="00E016E3">
        <w:tc>
          <w:tcPr>
            <w:tcW w:w="817" w:type="dxa"/>
          </w:tcPr>
          <w:p w:rsidR="00E016E3" w:rsidRPr="00E016E3" w:rsidRDefault="00E016E3" w:rsidP="00E016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6E3">
              <w:rPr>
                <w:rFonts w:ascii="Times New Roman" w:eastAsia="Calibri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7938" w:type="dxa"/>
          </w:tcPr>
          <w:p w:rsidR="00E016E3" w:rsidRPr="00E016E3" w:rsidRDefault="00E016E3" w:rsidP="00E016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6E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SWOT</w:t>
            </w:r>
            <w:r w:rsidRPr="00E016E3">
              <w:rPr>
                <w:rFonts w:ascii="Times New Roman" w:eastAsia="Calibri" w:hAnsi="Times New Roman" w:cs="Times New Roman"/>
                <w:sz w:val="28"/>
                <w:szCs w:val="28"/>
              </w:rPr>
              <w:t>-анализ финансовой устойчивости страховых компаний, специализирующихся на страховании жизни</w:t>
            </w:r>
          </w:p>
        </w:tc>
        <w:tc>
          <w:tcPr>
            <w:tcW w:w="590" w:type="dxa"/>
          </w:tcPr>
          <w:p w:rsidR="00E016E3" w:rsidRPr="00E016E3" w:rsidRDefault="00E016E3" w:rsidP="00E016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016E3" w:rsidRPr="00E016E3" w:rsidTr="00E016E3">
        <w:tc>
          <w:tcPr>
            <w:tcW w:w="817" w:type="dxa"/>
          </w:tcPr>
          <w:p w:rsidR="00E016E3" w:rsidRPr="00E016E3" w:rsidRDefault="00E016E3" w:rsidP="00E016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E016E3" w:rsidRPr="00E016E3" w:rsidRDefault="00E016E3" w:rsidP="00E016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90" w:type="dxa"/>
          </w:tcPr>
          <w:p w:rsidR="00E016E3" w:rsidRPr="00E016E3" w:rsidRDefault="00E016E3" w:rsidP="00E016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016E3" w:rsidRPr="00E016E3" w:rsidTr="00E016E3">
        <w:tc>
          <w:tcPr>
            <w:tcW w:w="817" w:type="dxa"/>
          </w:tcPr>
          <w:p w:rsidR="00E016E3" w:rsidRPr="00E016E3" w:rsidRDefault="00E016E3" w:rsidP="00E016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6E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E016E3" w:rsidRPr="00E016E3" w:rsidRDefault="00E016E3" w:rsidP="00E016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6E3">
              <w:rPr>
                <w:rFonts w:ascii="Times New Roman" w:eastAsia="Calibri" w:hAnsi="Times New Roman" w:cs="Times New Roman"/>
                <w:sz w:val="28"/>
                <w:szCs w:val="28"/>
              </w:rPr>
              <w:t>ПУТИ УЛУЧШЕНИЯ ФИНАНСОВОЙ УСТОЙЧИВОСТИ СТРАХОВЫХ КОМПАНИЙ ПО СТРАХОВАНИЮ ЖИЗНИ В КАЗАХСТАНЕ</w:t>
            </w:r>
          </w:p>
        </w:tc>
        <w:tc>
          <w:tcPr>
            <w:tcW w:w="590" w:type="dxa"/>
          </w:tcPr>
          <w:p w:rsidR="00E016E3" w:rsidRPr="00E016E3" w:rsidRDefault="00E016E3" w:rsidP="00E016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016E3" w:rsidRPr="00E016E3" w:rsidTr="00E016E3">
        <w:tc>
          <w:tcPr>
            <w:tcW w:w="817" w:type="dxa"/>
          </w:tcPr>
          <w:p w:rsidR="00E016E3" w:rsidRPr="00E016E3" w:rsidRDefault="00E016E3" w:rsidP="00E016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6E3">
              <w:rPr>
                <w:rFonts w:ascii="Times New Roman" w:eastAsia="Calibri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7938" w:type="dxa"/>
          </w:tcPr>
          <w:p w:rsidR="00E016E3" w:rsidRPr="00E016E3" w:rsidRDefault="00E016E3" w:rsidP="00E016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6E3">
              <w:rPr>
                <w:rFonts w:ascii="Times New Roman" w:eastAsia="Calibri" w:hAnsi="Times New Roman" w:cs="Times New Roman"/>
                <w:sz w:val="28"/>
                <w:szCs w:val="28"/>
              </w:rPr>
              <w:t>Зарубежный опыт повышения финансовой устойчивости страховых компаний по страхованию жизни</w:t>
            </w:r>
          </w:p>
        </w:tc>
        <w:tc>
          <w:tcPr>
            <w:tcW w:w="590" w:type="dxa"/>
          </w:tcPr>
          <w:p w:rsidR="00E016E3" w:rsidRPr="00E016E3" w:rsidRDefault="00E016E3" w:rsidP="00E016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016E3" w:rsidRPr="00E016E3" w:rsidTr="00E016E3">
        <w:tc>
          <w:tcPr>
            <w:tcW w:w="817" w:type="dxa"/>
          </w:tcPr>
          <w:p w:rsidR="00E016E3" w:rsidRPr="00E016E3" w:rsidRDefault="00E016E3" w:rsidP="00E016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6E3">
              <w:rPr>
                <w:rFonts w:ascii="Times New Roman" w:eastAsia="Calibri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7938" w:type="dxa"/>
          </w:tcPr>
          <w:p w:rsidR="00E016E3" w:rsidRPr="00E016E3" w:rsidRDefault="00E016E3" w:rsidP="00E016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6E3">
              <w:rPr>
                <w:rFonts w:ascii="Times New Roman" w:eastAsia="Calibri" w:hAnsi="Times New Roman" w:cs="Times New Roman"/>
                <w:sz w:val="28"/>
                <w:szCs w:val="28"/>
              </w:rPr>
              <w:t>Меры по улучшению финансовой устойчивости страховых компаний, специализирующихся на страховании жизни</w:t>
            </w:r>
          </w:p>
        </w:tc>
        <w:tc>
          <w:tcPr>
            <w:tcW w:w="590" w:type="dxa"/>
          </w:tcPr>
          <w:p w:rsidR="00E016E3" w:rsidRPr="00E016E3" w:rsidRDefault="00E016E3" w:rsidP="00E016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016E3" w:rsidRPr="00E016E3" w:rsidTr="00E016E3">
        <w:tc>
          <w:tcPr>
            <w:tcW w:w="817" w:type="dxa"/>
          </w:tcPr>
          <w:p w:rsidR="00E016E3" w:rsidRPr="00E016E3" w:rsidRDefault="00E016E3" w:rsidP="00E016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E016E3" w:rsidRPr="00E016E3" w:rsidRDefault="00E016E3" w:rsidP="00E016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</w:tcPr>
          <w:p w:rsidR="00E016E3" w:rsidRPr="00E016E3" w:rsidRDefault="00E016E3" w:rsidP="00E016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016E3" w:rsidRPr="00E016E3" w:rsidTr="00E016E3">
        <w:tc>
          <w:tcPr>
            <w:tcW w:w="817" w:type="dxa"/>
          </w:tcPr>
          <w:p w:rsidR="00E016E3" w:rsidRPr="00E016E3" w:rsidRDefault="00E016E3" w:rsidP="00E016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E016E3" w:rsidRPr="00E016E3" w:rsidRDefault="00E016E3" w:rsidP="00E016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6E3">
              <w:rPr>
                <w:rFonts w:ascii="Times New Roman" w:eastAsia="Calibri" w:hAnsi="Times New Roman" w:cs="Times New Roman"/>
                <w:sz w:val="28"/>
                <w:szCs w:val="28"/>
              </w:rPr>
              <w:t>ЗАКЛЮЧЕНИЕ</w:t>
            </w:r>
          </w:p>
        </w:tc>
        <w:tc>
          <w:tcPr>
            <w:tcW w:w="590" w:type="dxa"/>
          </w:tcPr>
          <w:p w:rsidR="00E016E3" w:rsidRPr="00E016E3" w:rsidRDefault="00E016E3" w:rsidP="00E016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016E3" w:rsidRPr="00E016E3" w:rsidTr="00E016E3">
        <w:tc>
          <w:tcPr>
            <w:tcW w:w="817" w:type="dxa"/>
          </w:tcPr>
          <w:p w:rsidR="00E016E3" w:rsidRPr="00E016E3" w:rsidRDefault="00E016E3" w:rsidP="00E016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E016E3" w:rsidRPr="00E016E3" w:rsidRDefault="00E016E3" w:rsidP="00E016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</w:tcPr>
          <w:p w:rsidR="00E016E3" w:rsidRPr="00E016E3" w:rsidRDefault="00E016E3" w:rsidP="00E016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016E3" w:rsidRPr="00E016E3" w:rsidTr="00E016E3">
        <w:tc>
          <w:tcPr>
            <w:tcW w:w="817" w:type="dxa"/>
          </w:tcPr>
          <w:p w:rsidR="00E016E3" w:rsidRPr="00E016E3" w:rsidRDefault="00E016E3" w:rsidP="00E016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E016E3" w:rsidRPr="00E016E3" w:rsidRDefault="00E016E3" w:rsidP="00E016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6E3">
              <w:rPr>
                <w:rFonts w:ascii="Times New Roman" w:eastAsia="Calibri" w:hAnsi="Times New Roman" w:cs="Times New Roman"/>
                <w:sz w:val="28"/>
                <w:szCs w:val="28"/>
              </w:rPr>
              <w:t>СПИСОК ИСПОЛЬЗОВАННОЙ ЛИТЕРАТУРЫ</w:t>
            </w:r>
          </w:p>
        </w:tc>
        <w:tc>
          <w:tcPr>
            <w:tcW w:w="590" w:type="dxa"/>
          </w:tcPr>
          <w:p w:rsidR="00E016E3" w:rsidRPr="00E016E3" w:rsidRDefault="00E016E3" w:rsidP="00E016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016E3" w:rsidRPr="00E016E3" w:rsidTr="00E016E3">
        <w:tc>
          <w:tcPr>
            <w:tcW w:w="817" w:type="dxa"/>
          </w:tcPr>
          <w:p w:rsidR="00E016E3" w:rsidRPr="00E016E3" w:rsidRDefault="00E016E3" w:rsidP="00E016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E016E3" w:rsidRPr="00E016E3" w:rsidRDefault="00E016E3" w:rsidP="00E016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</w:tcPr>
          <w:p w:rsidR="00E016E3" w:rsidRPr="00E016E3" w:rsidRDefault="00E016E3" w:rsidP="00E016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D02251" w:rsidRDefault="00D02251"/>
    <w:p w:rsidR="007945C0" w:rsidRDefault="007945C0"/>
    <w:p w:rsidR="007945C0" w:rsidRDefault="007945C0"/>
    <w:p w:rsidR="007945C0" w:rsidRPr="00F960DF" w:rsidRDefault="007945C0" w:rsidP="007945C0">
      <w:pPr>
        <w:pStyle w:val="1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F960DF">
        <w:rPr>
          <w:rFonts w:ascii="Times New Roman" w:hAnsi="Times New Roman" w:cs="Times New Roman"/>
          <w:color w:val="auto"/>
          <w:sz w:val="28"/>
          <w:szCs w:val="28"/>
        </w:rPr>
        <w:lastRenderedPageBreak/>
        <w:t>ЗАКЛЮЧЕНИЕ</w:t>
      </w:r>
    </w:p>
    <w:p w:rsidR="007945C0" w:rsidRPr="00DA5A09" w:rsidRDefault="007945C0" w:rsidP="007945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945C0" w:rsidRPr="00DA5A09" w:rsidRDefault="007945C0" w:rsidP="007945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A09">
        <w:rPr>
          <w:rFonts w:ascii="Times New Roman" w:hAnsi="Times New Roman" w:cs="Times New Roman"/>
          <w:sz w:val="28"/>
          <w:szCs w:val="28"/>
        </w:rPr>
        <w:t xml:space="preserve">Анализ теоретических аспектов финансовой устойчивости страховых компаний, специализирующихся на страховании жизни, подчеркивает комплексность и </w:t>
      </w:r>
      <w:proofErr w:type="spellStart"/>
      <w:r w:rsidRPr="00DA5A09">
        <w:rPr>
          <w:rFonts w:ascii="Times New Roman" w:hAnsi="Times New Roman" w:cs="Times New Roman"/>
          <w:sz w:val="28"/>
          <w:szCs w:val="28"/>
        </w:rPr>
        <w:t>многоуровневость</w:t>
      </w:r>
      <w:proofErr w:type="spellEnd"/>
      <w:r w:rsidRPr="00DA5A09">
        <w:rPr>
          <w:rFonts w:ascii="Times New Roman" w:hAnsi="Times New Roman" w:cs="Times New Roman"/>
          <w:sz w:val="28"/>
          <w:szCs w:val="28"/>
        </w:rPr>
        <w:t xml:space="preserve"> данной проблематики. Финансовая устойчивость не ограничивается лишь текущим финансовым состоянием компании, но также включает её способность адаптироваться к динамичным изменениям в рыночной среде, эффективно управлять как внутренними, так и внешними рисками, а также обеспечивать надёжное выполнение обязательств перед застрахованными лицами на длительный срок.</w:t>
      </w:r>
    </w:p>
    <w:p w:rsidR="007945C0" w:rsidRPr="00DA5A09" w:rsidRDefault="007945C0" w:rsidP="007945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A09">
        <w:rPr>
          <w:rFonts w:ascii="Times New Roman" w:hAnsi="Times New Roman" w:cs="Times New Roman"/>
          <w:sz w:val="28"/>
          <w:szCs w:val="28"/>
        </w:rPr>
        <w:t>Достижение и поддержание финансовой устойчивости требует от страховых компаний не только точного понимания и управления своими ресурсами и рисками, но и гибкости в принятии управленческих решений, которые должны базироваться на комплексном анализе как экономических, так и неэкономических факторов влияния. Это подчеркивает значимость стратегического планирования и внедрения инновационных подходов в управлении страховой деятельностью.</w:t>
      </w:r>
    </w:p>
    <w:p w:rsidR="007945C0" w:rsidRDefault="007945C0"/>
    <w:p w:rsidR="007945C0" w:rsidRDefault="007945C0"/>
    <w:p w:rsidR="007945C0" w:rsidRDefault="007945C0"/>
    <w:p w:rsidR="007945C0" w:rsidRDefault="007945C0"/>
    <w:p w:rsidR="007945C0" w:rsidRDefault="007945C0"/>
    <w:p w:rsidR="007945C0" w:rsidRDefault="007945C0"/>
    <w:p w:rsidR="007945C0" w:rsidRDefault="007945C0"/>
    <w:p w:rsidR="007945C0" w:rsidRDefault="007945C0"/>
    <w:p w:rsidR="007945C0" w:rsidRDefault="007945C0"/>
    <w:p w:rsidR="007945C0" w:rsidRDefault="007945C0"/>
    <w:p w:rsidR="007945C0" w:rsidRDefault="007945C0"/>
    <w:p w:rsidR="007945C0" w:rsidRDefault="007945C0"/>
    <w:p w:rsidR="007945C0" w:rsidRDefault="007945C0"/>
    <w:p w:rsidR="007945C0" w:rsidRDefault="007945C0"/>
    <w:p w:rsidR="007945C0" w:rsidRDefault="007945C0"/>
    <w:p w:rsidR="007945C0" w:rsidRDefault="007945C0"/>
    <w:p w:rsidR="007945C0" w:rsidRDefault="007945C0"/>
    <w:p w:rsidR="007945C0" w:rsidRDefault="007945C0"/>
    <w:p w:rsidR="007945C0" w:rsidRPr="00687DC9" w:rsidRDefault="007945C0" w:rsidP="007945C0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87DC9">
        <w:rPr>
          <w:rFonts w:ascii="Times New Roman" w:hAnsi="Times New Roman" w:cs="Times New Roman"/>
          <w:color w:val="auto"/>
          <w:sz w:val="28"/>
          <w:szCs w:val="28"/>
        </w:rPr>
        <w:t>СПИСОК ИСПОЛЬЗОВАННОЙ ЛИТЕРАТУРЫ</w:t>
      </w:r>
    </w:p>
    <w:p w:rsidR="007945C0" w:rsidRPr="004D328C" w:rsidRDefault="007945C0" w:rsidP="007945C0">
      <w:pPr>
        <w:tabs>
          <w:tab w:val="left" w:pos="7272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945C0" w:rsidRPr="00F71811" w:rsidRDefault="007945C0" w:rsidP="007945C0">
      <w:pPr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1811">
        <w:rPr>
          <w:rFonts w:ascii="Times New Roman" w:hAnsi="Times New Roman" w:cs="Times New Roman"/>
          <w:sz w:val="28"/>
          <w:szCs w:val="28"/>
        </w:rPr>
        <w:t xml:space="preserve">Блажевич О.Г. Оценка финансовой устойчивости страховой организации // </w:t>
      </w:r>
      <w:hyperlink r:id="rId5" w:history="1">
        <w:r w:rsidRPr="00F71811">
          <w:rPr>
            <w:rStyle w:val="a5"/>
            <w:rFonts w:ascii="Times New Roman" w:hAnsi="Times New Roman" w:cs="Times New Roman"/>
            <w:sz w:val="28"/>
            <w:szCs w:val="28"/>
          </w:rPr>
          <w:t>https://cyberleninka.ru/article/n/otsenka-finansovoy-ustoychivosti-strahovoy-organizatsii</w:t>
        </w:r>
      </w:hyperlink>
    </w:p>
    <w:p w:rsidR="007945C0" w:rsidRPr="00F71811" w:rsidRDefault="007945C0" w:rsidP="007945C0">
      <w:pPr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1811">
        <w:rPr>
          <w:rFonts w:ascii="Times New Roman" w:hAnsi="Times New Roman" w:cs="Times New Roman"/>
          <w:sz w:val="28"/>
          <w:szCs w:val="28"/>
        </w:rPr>
        <w:t xml:space="preserve">Рамазанова Д.И. Оценка финансовой устойчивости страховой компании // </w:t>
      </w:r>
      <w:hyperlink r:id="rId6" w:history="1">
        <w:r w:rsidRPr="00F71811">
          <w:rPr>
            <w:rStyle w:val="a5"/>
            <w:rFonts w:ascii="Times New Roman" w:hAnsi="Times New Roman" w:cs="Times New Roman"/>
            <w:sz w:val="28"/>
            <w:szCs w:val="28"/>
          </w:rPr>
          <w:t>https://cyberleninka.ru/article/n/otsenka-finansovoy-ustoychivosti-strahovoy-kompanii</w:t>
        </w:r>
      </w:hyperlink>
    </w:p>
    <w:p w:rsidR="007945C0" w:rsidRPr="009A7838" w:rsidRDefault="007945C0" w:rsidP="007945C0">
      <w:pPr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7838">
        <w:rPr>
          <w:rFonts w:ascii="Times New Roman" w:hAnsi="Times New Roman" w:cs="Times New Roman"/>
          <w:sz w:val="28"/>
          <w:szCs w:val="28"/>
        </w:rPr>
        <w:t>Филин С.А. Финансовый риск и его составляющие для обеспечения процесса оценки и эффективного управления финансовыми рисками при принятии финансовых управленческих решений // Финансы и кредит − №3 (93). – 2002. – С.21- 31.</w:t>
      </w:r>
    </w:p>
    <w:p w:rsidR="007945C0" w:rsidRDefault="007945C0" w:rsidP="007945C0">
      <w:pPr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C7742">
        <w:rPr>
          <w:rFonts w:ascii="Times New Roman" w:hAnsi="Times New Roman" w:cs="Times New Roman"/>
          <w:sz w:val="28"/>
          <w:szCs w:val="28"/>
        </w:rPr>
        <w:t xml:space="preserve">Лаврентьева Л.В. О платежеспособности как качественной характеристике финансовой устойчивости страховой компании // </w:t>
      </w:r>
      <w:hyperlink r:id="rId7" w:history="1">
        <w:r w:rsidRPr="009A7838">
          <w:rPr>
            <w:rStyle w:val="a5"/>
            <w:rFonts w:ascii="Times New Roman" w:hAnsi="Times New Roman" w:cs="Times New Roman"/>
            <w:sz w:val="28"/>
            <w:szCs w:val="28"/>
          </w:rPr>
          <w:t>https://cyberleninka.ru/article/n/o-platezhesposobnosti-kak-kachestvennoy-harakteristike-finansovoy-ustoychivosti-strahovoy-kompanii</w:t>
        </w:r>
      </w:hyperlink>
    </w:p>
    <w:p w:rsidR="007945C0" w:rsidRPr="00C771C9" w:rsidRDefault="007945C0" w:rsidP="007945C0">
      <w:pPr>
        <w:pStyle w:val="a4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71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Ахвледиани Ю.Т. Страхование: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моногр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/ М.: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Юнити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-Дана, 2021. </w:t>
      </w:r>
      <w:r w:rsidRPr="009A783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71C9">
        <w:rPr>
          <w:rFonts w:ascii="Times New Roman" w:hAnsi="Times New Roman" w:cs="Times New Roman"/>
          <w:color w:val="000000" w:themeColor="text1"/>
          <w:sz w:val="28"/>
          <w:szCs w:val="28"/>
        </w:rPr>
        <w:t>606 c.</w:t>
      </w:r>
    </w:p>
    <w:p w:rsidR="007945C0" w:rsidRDefault="007945C0">
      <w:bookmarkStart w:id="0" w:name="_GoBack"/>
      <w:bookmarkEnd w:id="0"/>
    </w:p>
    <w:sectPr w:rsidR="00794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F599C"/>
    <w:multiLevelType w:val="hybridMultilevel"/>
    <w:tmpl w:val="EE36158E"/>
    <w:lvl w:ilvl="0" w:tplc="486836E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28C"/>
    <w:rsid w:val="000C528C"/>
    <w:rsid w:val="007945C0"/>
    <w:rsid w:val="00D02251"/>
    <w:rsid w:val="00E0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7254C"/>
  <w15:chartTrackingRefBased/>
  <w15:docId w15:val="{CE57FD70-1A14-420A-AB59-BC24FE7E1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6E3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7945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1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945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7945C0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5">
    <w:name w:val="Hyperlink"/>
    <w:basedOn w:val="a0"/>
    <w:uiPriority w:val="99"/>
    <w:unhideWhenUsed/>
    <w:rsid w:val="007945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yberleninka.ru/article/n/o-platezhesposobnosti-kak-kachestvennoy-harakteristike-finansovoy-ustoychivosti-strahovoy-kompani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yberleninka.ru/article/n/otsenka-finansovoy-ustoychivosti-strahovoy-kompanii" TargetMode="External"/><Relationship Id="rId5" Type="http://schemas.openxmlformats.org/officeDocument/2006/relationships/hyperlink" Target="https://cyberleninka.ru/article/n/otsenka-finansovoy-ustoychivosti-strahovoy-organizatsi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2025-12-09T13:06:00Z</dcterms:created>
  <dcterms:modified xsi:type="dcterms:W3CDTF">2025-12-09T13:40:00Z</dcterms:modified>
</cp:coreProperties>
</file>