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61" w:rsidRPr="0053747B" w:rsidRDefault="0053747B" w:rsidP="005374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Исковая давность в гражданском процессе Республики Казахстан</w:t>
      </w:r>
    </w:p>
    <w:p w:rsidR="0053747B" w:rsidRDefault="0053747B" w:rsidP="005374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Стр-69</w:t>
      </w:r>
    </w:p>
    <w:p w:rsidR="0053747B" w:rsidRPr="00643420" w:rsidRDefault="0053747B" w:rsidP="0053747B">
      <w:pPr>
        <w:ind w:firstLine="709"/>
        <w:jc w:val="both"/>
        <w:rPr>
          <w:rFonts w:cs="Times New Roman"/>
          <w:sz w:val="28"/>
          <w:szCs w:val="28"/>
        </w:rPr>
      </w:pPr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643420">
        <w:rPr>
          <w:rFonts w:cs="Times New Roman"/>
          <w:sz w:val="28"/>
          <w:szCs w:val="28"/>
        </w:rPr>
        <w:fldChar w:fldCharType="begin"/>
      </w:r>
      <w:r w:rsidRPr="00643420">
        <w:rPr>
          <w:rFonts w:cs="Times New Roman"/>
          <w:sz w:val="28"/>
          <w:szCs w:val="28"/>
        </w:rPr>
        <w:instrText xml:space="preserve"> TOC \o "1-3" \h \z \u </w:instrText>
      </w:r>
      <w:r w:rsidRPr="00643420">
        <w:rPr>
          <w:rFonts w:cs="Times New Roman"/>
          <w:sz w:val="28"/>
          <w:szCs w:val="28"/>
        </w:rPr>
        <w:fldChar w:fldCharType="separate"/>
      </w:r>
      <w:hyperlink w:anchor="_Toc37287689" w:history="1"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Введение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Style w:val="a3"/>
          <w:rFonts w:cs="Times New Roman"/>
          <w:noProof/>
          <w:sz w:val="28"/>
          <w:szCs w:val="28"/>
        </w:rPr>
      </w:pPr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690" w:history="1"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1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Теоретические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аспекты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исковой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давности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в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гражданском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праве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691" w:history="1">
        <w:r w:rsidRPr="00643420">
          <w:rPr>
            <w:rStyle w:val="a3"/>
            <w:rFonts w:cs="Times New Roman"/>
            <w:noProof/>
            <w:sz w:val="28"/>
            <w:szCs w:val="28"/>
          </w:rPr>
          <w:t>1.1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Понятие,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сущность,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особенности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сроков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исковой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давности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в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гражданском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праве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692" w:history="1">
        <w:r w:rsidRPr="00643420">
          <w:rPr>
            <w:rStyle w:val="a3"/>
            <w:rFonts w:cs="Times New Roman"/>
            <w:noProof/>
            <w:sz w:val="28"/>
            <w:szCs w:val="28"/>
          </w:rPr>
          <w:t>1.2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  <w:lang w:val="kk-KZ"/>
          </w:rPr>
          <w:t>Классификация</w:t>
        </w:r>
        <w:r>
          <w:rPr>
            <w:rStyle w:val="a3"/>
            <w:rFonts w:cs="Times New Roman"/>
            <w:noProof/>
            <w:sz w:val="28"/>
            <w:szCs w:val="28"/>
            <w:lang w:val="kk-KZ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срок</w:t>
        </w:r>
        <w:r w:rsidRPr="00643420">
          <w:rPr>
            <w:rStyle w:val="a3"/>
            <w:rFonts w:cs="Times New Roman"/>
            <w:noProof/>
            <w:sz w:val="28"/>
            <w:szCs w:val="28"/>
            <w:lang w:val="kk-KZ"/>
          </w:rPr>
          <w:t>ов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исковой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давности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  <w:lang w:val="en-US"/>
          </w:rPr>
          <w:t>(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общие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специальные</w:t>
        </w:r>
        <w:r>
          <w:rPr>
            <w:rStyle w:val="a3"/>
            <w:rFonts w:cs="Times New Roman"/>
            <w:noProof/>
            <w:sz w:val="28"/>
            <w:szCs w:val="28"/>
            <w:lang w:val="kk-KZ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  <w:lang w:val="kk-KZ"/>
          </w:rPr>
          <w:t>сроки)</w:t>
        </w:r>
      </w:hyperlink>
      <w:r w:rsidRPr="00643420">
        <w:rPr>
          <w:rFonts w:eastAsia="Times New Roman" w:cs="Times New Roman"/>
          <w:noProof/>
          <w:sz w:val="28"/>
          <w:szCs w:val="28"/>
          <w:lang w:eastAsia="ru-RU"/>
        </w:rPr>
        <w:t xml:space="preserve"> </w:t>
      </w:r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693" w:history="1">
        <w:r w:rsidRPr="00643420">
          <w:rPr>
            <w:rStyle w:val="a3"/>
            <w:rFonts w:cs="Times New Roman"/>
            <w:noProof/>
            <w:sz w:val="28"/>
            <w:szCs w:val="28"/>
          </w:rPr>
          <w:t>1.3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Отличие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срока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исковой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давности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от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иных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гражданско-правовых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сроков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Style w:val="a3"/>
          <w:rFonts w:cs="Times New Roman"/>
          <w:noProof/>
          <w:sz w:val="28"/>
          <w:szCs w:val="28"/>
        </w:rPr>
      </w:pPr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694" w:history="1"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2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Особенности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исчисления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и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течения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срока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исковой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давности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695" w:history="1">
        <w:r w:rsidRPr="00643420">
          <w:rPr>
            <w:rStyle w:val="a3"/>
            <w:rFonts w:cs="Times New Roman"/>
            <w:noProof/>
            <w:sz w:val="28"/>
            <w:szCs w:val="28"/>
          </w:rPr>
          <w:t>2.1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Начало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течения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срока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исковой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давности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696" w:history="1">
        <w:r w:rsidRPr="00643420">
          <w:rPr>
            <w:rStyle w:val="a3"/>
            <w:rFonts w:cs="Times New Roman"/>
            <w:noProof/>
            <w:sz w:val="28"/>
            <w:szCs w:val="28"/>
          </w:rPr>
          <w:t>2.2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Приостановление,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перерыв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восстановление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исковой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давности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697" w:history="1">
        <w:r w:rsidRPr="00643420">
          <w:rPr>
            <w:rStyle w:val="a3"/>
            <w:rFonts w:cs="Times New Roman"/>
            <w:noProof/>
            <w:sz w:val="28"/>
            <w:szCs w:val="28"/>
          </w:rPr>
          <w:t>2.3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Последствия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истечения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срока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исковой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давности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698" w:history="1">
        <w:r w:rsidRPr="00643420">
          <w:rPr>
            <w:rStyle w:val="a3"/>
            <w:rFonts w:cs="Times New Roman"/>
            <w:noProof/>
            <w:sz w:val="28"/>
            <w:szCs w:val="28"/>
          </w:rPr>
          <w:t>2.4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Проблемы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  <w:lang w:val="en-US"/>
          </w:rPr>
          <w:t>исчисления</w:t>
        </w:r>
        <w:r>
          <w:rPr>
            <w:rStyle w:val="a3"/>
            <w:rFonts w:cs="Times New Roman"/>
            <w:noProof/>
            <w:sz w:val="28"/>
            <w:szCs w:val="28"/>
            <w:lang w:val="en-US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исковой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давности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в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отдельных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видах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гражданских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правоотношений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Style w:val="a3"/>
          <w:rFonts w:cs="Times New Roman"/>
          <w:noProof/>
          <w:sz w:val="28"/>
          <w:szCs w:val="28"/>
        </w:rPr>
      </w:pPr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699" w:history="1"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3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Опыт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зарубежных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стран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и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рекомендации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по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совершенствованию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законодательства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Республики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Казахстан,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регулирующего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вопросы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br/>
          <w:t>исковой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давности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в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гражданском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праве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700" w:history="1">
        <w:r w:rsidRPr="00643420">
          <w:rPr>
            <w:rStyle w:val="a3"/>
            <w:rFonts w:cs="Times New Roman"/>
            <w:noProof/>
            <w:sz w:val="28"/>
            <w:szCs w:val="28"/>
          </w:rPr>
          <w:t>3.1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Сравнительно-правовой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анализ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различий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в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регулировании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исковой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давности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в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казахстанском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гражданском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праве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праве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зарубежных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стран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701" w:history="1">
        <w:r w:rsidRPr="00643420">
          <w:rPr>
            <w:rStyle w:val="a3"/>
            <w:rFonts w:cs="Times New Roman"/>
            <w:noProof/>
            <w:sz w:val="28"/>
            <w:szCs w:val="28"/>
          </w:rPr>
          <w:t>3.2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Предложение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изменений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в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правовых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нормах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об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исковой</w:t>
        </w:r>
        <w:r>
          <w:rPr>
            <w:rStyle w:val="a3"/>
            <w:rFonts w:cs="Times New Roman"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noProof/>
            <w:sz w:val="28"/>
            <w:szCs w:val="28"/>
          </w:rPr>
          <w:t>давности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Style w:val="a3"/>
          <w:rFonts w:cs="Times New Roman"/>
          <w:noProof/>
          <w:sz w:val="28"/>
          <w:szCs w:val="28"/>
        </w:rPr>
      </w:pPr>
    </w:p>
    <w:p w:rsidR="0053747B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702" w:history="1"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Заключение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37287703" w:history="1"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Список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использова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н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ной</w:t>
        </w:r>
        <w:r>
          <w:rPr>
            <w:rStyle w:val="a3"/>
            <w:rFonts w:cs="Times New Roman"/>
            <w:b/>
            <w:bCs/>
            <w:noProof/>
            <w:sz w:val="28"/>
            <w:szCs w:val="28"/>
          </w:rPr>
          <w:t xml:space="preserve"> 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лите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р</w:t>
        </w:r>
        <w:r w:rsidRPr="00643420">
          <w:rPr>
            <w:rStyle w:val="a3"/>
            <w:rFonts w:cs="Times New Roman"/>
            <w:b/>
            <w:bCs/>
            <w:noProof/>
            <w:sz w:val="28"/>
            <w:szCs w:val="28"/>
          </w:rPr>
          <w:t>атуры</w:t>
        </w:r>
      </w:hyperlink>
    </w:p>
    <w:p w:rsidR="0053747B" w:rsidRPr="00643420" w:rsidRDefault="0053747B" w:rsidP="0053747B">
      <w:pPr>
        <w:pStyle w:val="1"/>
        <w:tabs>
          <w:tab w:val="right" w:leader="dot" w:pos="9628"/>
        </w:tabs>
        <w:spacing w:after="0"/>
        <w:ind w:firstLine="709"/>
        <w:jc w:val="both"/>
        <w:rPr>
          <w:rStyle w:val="a3"/>
          <w:rFonts w:cs="Times New Roman"/>
          <w:noProof/>
          <w:sz w:val="28"/>
          <w:szCs w:val="28"/>
        </w:rPr>
      </w:pPr>
    </w:p>
    <w:p w:rsidR="0053747B" w:rsidRDefault="0053747B" w:rsidP="0053747B">
      <w:pPr>
        <w:rPr>
          <w:rFonts w:cs="Times New Roman"/>
          <w:sz w:val="28"/>
          <w:szCs w:val="28"/>
        </w:rPr>
      </w:pPr>
      <w:r w:rsidRPr="00643420">
        <w:rPr>
          <w:rFonts w:cs="Times New Roman"/>
          <w:sz w:val="28"/>
          <w:szCs w:val="28"/>
        </w:rPr>
        <w:fldChar w:fldCharType="end"/>
      </w:r>
    </w:p>
    <w:p w:rsidR="0053747B" w:rsidRDefault="0053747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53747B" w:rsidRPr="0053747B" w:rsidRDefault="0053747B" w:rsidP="0053747B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bookmarkStart w:id="0" w:name="_Toc37287702"/>
      <w:r w:rsidRPr="0053747B">
        <w:rPr>
          <w:rFonts w:ascii="Times New Roman" w:eastAsia="Calibri" w:hAnsi="Times New Roman" w:cs="Arial"/>
          <w:b/>
          <w:bCs/>
          <w:sz w:val="28"/>
          <w:szCs w:val="28"/>
        </w:rPr>
        <w:lastRenderedPageBreak/>
        <w:t>Заключение</w:t>
      </w:r>
      <w:bookmarkEnd w:id="0"/>
    </w:p>
    <w:p w:rsidR="0053747B" w:rsidRPr="0053747B" w:rsidRDefault="0053747B" w:rsidP="00537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47B" w:rsidRPr="0053747B" w:rsidRDefault="0053747B" w:rsidP="00537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7B">
        <w:rPr>
          <w:rFonts w:ascii="Times New Roman" w:eastAsia="Calibri" w:hAnsi="Times New Roman" w:cs="Times New Roman"/>
          <w:sz w:val="28"/>
          <w:szCs w:val="28"/>
        </w:rPr>
        <w:t>Проведённое в дипломной работе исследование позволило сделать следующие выводы:</w:t>
      </w:r>
    </w:p>
    <w:p w:rsidR="0053747B" w:rsidRPr="0053747B" w:rsidRDefault="0053747B" w:rsidP="00537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7B">
        <w:rPr>
          <w:rFonts w:ascii="Times New Roman" w:eastAsia="Calibri" w:hAnsi="Times New Roman" w:cs="Times New Roman"/>
          <w:sz w:val="28"/>
          <w:szCs w:val="28"/>
        </w:rPr>
        <w:t xml:space="preserve">1. Правомочие защиты лицом своего субъективного гражданского права, которое, по его мнению, нарушено, имеет установленные законом временные ограничения, именуемые сроком исковой давности. Однако в соответствии с принципом свободы воли в гражданском праве, а также с принципом диспозитивности в гражданском (арбитражном) процессе основным условием применения правила исковой давности является заявление стороны в споре – ответчика по иску, как первоначальному, так и встречному. Сроком исковой давности является предоставленный государством срок для защиты (в том числе восстановления) нарушенных субъективных прав посредством принуждения к исполнению, совершения действий обязанного лица - должника. Это промежуток времени, в период которого может быть осуществлена результативная судебная защита. </w:t>
      </w:r>
    </w:p>
    <w:p w:rsidR="0053747B" w:rsidRDefault="005374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3747B" w:rsidRPr="0053747B" w:rsidRDefault="0053747B" w:rsidP="0053747B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bookmarkStart w:id="1" w:name="_Toc37287703"/>
      <w:r w:rsidRPr="0053747B">
        <w:rPr>
          <w:rFonts w:ascii="Times New Roman" w:eastAsia="Calibri" w:hAnsi="Times New Roman" w:cs="Arial"/>
          <w:b/>
          <w:bCs/>
          <w:sz w:val="28"/>
          <w:szCs w:val="28"/>
        </w:rPr>
        <w:lastRenderedPageBreak/>
        <w:t>Список использованной литературы</w:t>
      </w:r>
      <w:bookmarkEnd w:id="1"/>
    </w:p>
    <w:p w:rsidR="0053747B" w:rsidRPr="0053747B" w:rsidRDefault="0053747B" w:rsidP="00537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47B" w:rsidRPr="0053747B" w:rsidRDefault="0053747B" w:rsidP="0053747B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7B">
        <w:rPr>
          <w:rFonts w:ascii="Times New Roman" w:eastAsia="Calibri" w:hAnsi="Times New Roman" w:cs="Times New Roman"/>
          <w:sz w:val="28"/>
          <w:szCs w:val="28"/>
        </w:rPr>
        <w:t>Конституция Республики Казахстан (принята на республиканском референдуме 30 августа 1995 года) // https://online.zakon.kz/document/?doc_id =1030770#pos=0;0 (по состоянию на 02.02.2011 г.).</w:t>
      </w:r>
    </w:p>
    <w:p w:rsidR="0053747B" w:rsidRPr="0053747B" w:rsidRDefault="0053747B" w:rsidP="0053747B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7B">
        <w:rPr>
          <w:rFonts w:ascii="Times New Roman" w:eastAsia="Calibri" w:hAnsi="Times New Roman" w:cs="Times New Roman"/>
          <w:sz w:val="28"/>
          <w:szCs w:val="28"/>
        </w:rPr>
        <w:t>Алиев О.М. Исковая давность в Древнем Риме // Студенческий: электронный научный журнал // https://sibac.info/journal/student/45/127629 (по состоянию на 2019 г.)</w:t>
      </w:r>
    </w:p>
    <w:p w:rsidR="0053747B" w:rsidRPr="0053747B" w:rsidRDefault="0053747B" w:rsidP="0053747B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7B">
        <w:rPr>
          <w:rFonts w:ascii="Times New Roman" w:eastAsia="Calibri" w:hAnsi="Times New Roman" w:cs="Times New Roman"/>
          <w:sz w:val="28"/>
          <w:szCs w:val="28"/>
        </w:rPr>
        <w:t xml:space="preserve">Новицкий И.Б. Римское право: Учебник для академического </w:t>
      </w:r>
      <w:proofErr w:type="spellStart"/>
      <w:r w:rsidRPr="0053747B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53747B">
        <w:rPr>
          <w:rFonts w:ascii="Times New Roman" w:eastAsia="Calibri" w:hAnsi="Times New Roman" w:cs="Times New Roman"/>
          <w:sz w:val="28"/>
          <w:szCs w:val="28"/>
        </w:rPr>
        <w:t xml:space="preserve">. – М.: Издательство </w:t>
      </w:r>
      <w:proofErr w:type="spellStart"/>
      <w:r w:rsidRPr="0053747B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53747B">
        <w:rPr>
          <w:rFonts w:ascii="Times New Roman" w:eastAsia="Calibri" w:hAnsi="Times New Roman" w:cs="Times New Roman"/>
          <w:sz w:val="28"/>
          <w:szCs w:val="28"/>
        </w:rPr>
        <w:t>, 2019. – 298 с.</w:t>
      </w:r>
    </w:p>
    <w:p w:rsidR="0053747B" w:rsidRPr="0053747B" w:rsidRDefault="0053747B" w:rsidP="0053747B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747B">
        <w:rPr>
          <w:rFonts w:ascii="Times New Roman" w:eastAsia="Calibri" w:hAnsi="Times New Roman" w:cs="Times New Roman"/>
          <w:sz w:val="28"/>
          <w:szCs w:val="28"/>
        </w:rPr>
        <w:t>Кайнов</w:t>
      </w:r>
      <w:proofErr w:type="spellEnd"/>
      <w:r w:rsidRPr="0053747B">
        <w:rPr>
          <w:rFonts w:ascii="Times New Roman" w:eastAsia="Calibri" w:hAnsi="Times New Roman" w:cs="Times New Roman"/>
          <w:sz w:val="28"/>
          <w:szCs w:val="28"/>
        </w:rPr>
        <w:t xml:space="preserve"> В.И. Римское право: Учебник и практикум для СПО. – 2-е изд., </w:t>
      </w:r>
      <w:proofErr w:type="spellStart"/>
      <w:r w:rsidRPr="0053747B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Pr="005374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3747B">
        <w:rPr>
          <w:rFonts w:ascii="Times New Roman" w:eastAsia="Calibri" w:hAnsi="Times New Roman" w:cs="Times New Roman"/>
          <w:sz w:val="28"/>
          <w:szCs w:val="28"/>
        </w:rPr>
        <w:t xml:space="preserve"> и доп. – М.: Издательство </w:t>
      </w:r>
      <w:proofErr w:type="spellStart"/>
      <w:r w:rsidRPr="0053747B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53747B">
        <w:rPr>
          <w:rFonts w:ascii="Times New Roman" w:eastAsia="Calibri" w:hAnsi="Times New Roman" w:cs="Times New Roman"/>
          <w:sz w:val="28"/>
          <w:szCs w:val="28"/>
        </w:rPr>
        <w:t>, 2017. – 222 с.</w:t>
      </w:r>
    </w:p>
    <w:p w:rsidR="0053747B" w:rsidRPr="0053747B" w:rsidRDefault="0053747B" w:rsidP="0053747B">
      <w:pPr>
        <w:numPr>
          <w:ilvl w:val="0"/>
          <w:numId w:val="1"/>
        </w:numPr>
        <w:tabs>
          <w:tab w:val="num" w:pos="0"/>
          <w:tab w:val="num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747B">
        <w:rPr>
          <w:rFonts w:ascii="Times New Roman" w:eastAsia="Calibri" w:hAnsi="Times New Roman" w:cs="Times New Roman"/>
          <w:sz w:val="28"/>
          <w:szCs w:val="28"/>
        </w:rPr>
        <w:t>Санфилиппо</w:t>
      </w:r>
      <w:proofErr w:type="spellEnd"/>
      <w:r w:rsidRPr="0053747B">
        <w:rPr>
          <w:rFonts w:ascii="Times New Roman" w:eastAsia="Calibri" w:hAnsi="Times New Roman" w:cs="Times New Roman"/>
          <w:sz w:val="28"/>
          <w:szCs w:val="28"/>
        </w:rPr>
        <w:t xml:space="preserve"> Ч. Курс римского частного права: учебник [пер. с итал. И. И. </w:t>
      </w:r>
      <w:proofErr w:type="spellStart"/>
      <w:r w:rsidRPr="0053747B">
        <w:rPr>
          <w:rFonts w:ascii="Times New Roman" w:eastAsia="Calibri" w:hAnsi="Times New Roman" w:cs="Times New Roman"/>
          <w:sz w:val="28"/>
          <w:szCs w:val="28"/>
        </w:rPr>
        <w:t>Маханькова</w:t>
      </w:r>
      <w:proofErr w:type="spellEnd"/>
      <w:r w:rsidRPr="0053747B">
        <w:rPr>
          <w:rFonts w:ascii="Times New Roman" w:eastAsia="Calibri" w:hAnsi="Times New Roman" w:cs="Times New Roman"/>
          <w:sz w:val="28"/>
          <w:szCs w:val="28"/>
        </w:rPr>
        <w:t xml:space="preserve">] / Под общ. ред. Д.В. </w:t>
      </w:r>
      <w:proofErr w:type="spellStart"/>
      <w:r w:rsidRPr="0053747B">
        <w:rPr>
          <w:rFonts w:ascii="Times New Roman" w:eastAsia="Calibri" w:hAnsi="Times New Roman" w:cs="Times New Roman"/>
          <w:sz w:val="28"/>
          <w:szCs w:val="28"/>
        </w:rPr>
        <w:t>Дождева</w:t>
      </w:r>
      <w:proofErr w:type="spellEnd"/>
      <w:r w:rsidRPr="0053747B">
        <w:rPr>
          <w:rFonts w:ascii="Times New Roman" w:eastAsia="Calibri" w:hAnsi="Times New Roman" w:cs="Times New Roman"/>
          <w:sz w:val="28"/>
          <w:szCs w:val="28"/>
        </w:rPr>
        <w:t>. – М.: ИНФРА-М, 2019. – 464 с.</w:t>
      </w:r>
    </w:p>
    <w:p w:rsidR="0053747B" w:rsidRPr="0053747B" w:rsidRDefault="0053747B" w:rsidP="0053747B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53747B" w:rsidRPr="0053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53B5E"/>
    <w:multiLevelType w:val="hybridMultilevel"/>
    <w:tmpl w:val="5F909128"/>
    <w:lvl w:ilvl="0" w:tplc="12B618AC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44"/>
    <w:rsid w:val="0053747B"/>
    <w:rsid w:val="00653A61"/>
    <w:rsid w:val="00E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E47C"/>
  <w15:chartTrackingRefBased/>
  <w15:docId w15:val="{71639046-2A13-4104-8277-D87EDEE3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747B"/>
    <w:rPr>
      <w:color w:val="0563C1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53747B"/>
    <w:pPr>
      <w:spacing w:after="100" w:line="240" w:lineRule="auto"/>
    </w:pPr>
    <w:rPr>
      <w:rFonts w:ascii="Times New Roman" w:eastAsia="Calibr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2020-11-17T09:12:00Z</dcterms:created>
  <dcterms:modified xsi:type="dcterms:W3CDTF">2020-11-17T09:14:00Z</dcterms:modified>
</cp:coreProperties>
</file>