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5"/>
      </w:tblGrid>
      <w:tr w:rsidR="0025092A" w:rsidTr="0025092A">
        <w:tc>
          <w:tcPr>
            <w:tcW w:w="9638" w:type="dxa"/>
          </w:tcPr>
          <w:p w:rsidR="0025092A" w:rsidRDefault="0025092A">
            <w:pPr>
              <w:spacing w:line="256" w:lineRule="auto"/>
              <w:jc w:val="center"/>
              <w:rPr>
                <w:sz w:val="28"/>
                <w:szCs w:val="28"/>
                <w:lang w:val="x-none" w:eastAsia="en-US"/>
              </w:rPr>
            </w:pPr>
          </w:p>
        </w:tc>
      </w:tr>
      <w:tr w:rsidR="0025092A" w:rsidTr="0025092A">
        <w:tc>
          <w:tcPr>
            <w:tcW w:w="9638" w:type="dxa"/>
            <w:hideMark/>
          </w:tcPr>
          <w:p w:rsidR="0025092A" w:rsidRDefault="0025092A">
            <w:pPr>
              <w:spacing w:line="256" w:lineRule="auto"/>
              <w:jc w:val="center"/>
              <w:rPr>
                <w:sz w:val="28"/>
                <w:szCs w:val="28"/>
                <w:lang w:val="x-none" w:eastAsia="en-US"/>
              </w:rPr>
            </w:pPr>
            <w:proofErr w:type="spellStart"/>
            <w:r>
              <w:rPr>
                <w:sz w:val="28"/>
                <w:szCs w:val="28"/>
                <w:lang w:eastAsia="en-US"/>
              </w:rPr>
              <w:t>Др</w:t>
            </w:r>
            <w:proofErr w:type="spellEnd"/>
            <w:r>
              <w:rPr>
                <w:sz w:val="28"/>
                <w:szCs w:val="28"/>
                <w:lang w:eastAsia="en-US"/>
              </w:rPr>
              <w:t>_</w:t>
            </w:r>
            <w:r>
              <w:rPr>
                <w:sz w:val="28"/>
                <w:szCs w:val="28"/>
                <w:lang w:val="x-none" w:eastAsia="en-US"/>
              </w:rPr>
              <w:t>История развития международного права в Европе во второй половине XIX века</w:t>
            </w:r>
            <w:r>
              <w:rPr>
                <w:sz w:val="28"/>
                <w:szCs w:val="28"/>
                <w:highlight w:val="yellow"/>
                <w:lang w:val="x-none" w:eastAsia="en-US"/>
              </w:rPr>
              <w:t xml:space="preserve">  </w:t>
            </w:r>
          </w:p>
          <w:p w:rsidR="0025092A" w:rsidRDefault="0025092A">
            <w:pPr>
              <w:spacing w:line="256" w:lineRule="auto"/>
              <w:jc w:val="center"/>
              <w:rPr>
                <w:sz w:val="28"/>
                <w:szCs w:val="28"/>
                <w:lang w:eastAsia="en-US"/>
              </w:rPr>
            </w:pPr>
            <w:r>
              <w:rPr>
                <w:sz w:val="28"/>
                <w:szCs w:val="28"/>
                <w:lang w:eastAsia="en-US"/>
              </w:rPr>
              <w:t>Стр-41</w:t>
            </w:r>
          </w:p>
          <w:p w:rsidR="0025092A" w:rsidRPr="0025092A" w:rsidRDefault="0025092A" w:rsidP="0025092A">
            <w:pPr>
              <w:spacing w:line="256" w:lineRule="auto"/>
              <w:jc w:val="both"/>
              <w:rPr>
                <w:sz w:val="28"/>
                <w:szCs w:val="28"/>
                <w:lang w:eastAsia="en-US"/>
              </w:rPr>
            </w:pPr>
          </w:p>
        </w:tc>
      </w:tr>
    </w:tbl>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31"/>
        <w:gridCol w:w="424"/>
      </w:tblGrid>
      <w:tr w:rsidR="0025092A" w:rsidTr="0025092A">
        <w:tc>
          <w:tcPr>
            <w:tcW w:w="8931" w:type="dxa"/>
            <w:hideMark/>
          </w:tcPr>
          <w:p w:rsidR="0025092A" w:rsidRDefault="0025092A" w:rsidP="0025092A">
            <w:pPr>
              <w:jc w:val="both"/>
              <w:rPr>
                <w:sz w:val="28"/>
                <w:szCs w:val="28"/>
                <w:lang w:eastAsia="en-US"/>
              </w:rPr>
            </w:pPr>
            <w:r>
              <w:rPr>
                <w:sz w:val="28"/>
                <w:szCs w:val="28"/>
                <w:lang w:eastAsia="en-US"/>
              </w:rPr>
              <w:t xml:space="preserve">Введение  </w:t>
            </w:r>
          </w:p>
        </w:tc>
        <w:tc>
          <w:tcPr>
            <w:tcW w:w="424" w:type="dxa"/>
          </w:tcPr>
          <w:p w:rsidR="0025092A" w:rsidRDefault="0025092A">
            <w:pPr>
              <w:rPr>
                <w:sz w:val="28"/>
                <w:szCs w:val="28"/>
                <w:lang w:eastAsia="en-US"/>
              </w:rPr>
            </w:pPr>
          </w:p>
        </w:tc>
      </w:tr>
      <w:tr w:rsidR="0025092A" w:rsidTr="0025092A">
        <w:tc>
          <w:tcPr>
            <w:tcW w:w="8931" w:type="dxa"/>
          </w:tcPr>
          <w:p w:rsidR="0025092A" w:rsidRDefault="0025092A">
            <w:pPr>
              <w:jc w:val="both"/>
              <w:rPr>
                <w:sz w:val="28"/>
                <w:szCs w:val="28"/>
                <w:lang w:eastAsia="en-US"/>
              </w:rPr>
            </w:pP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1 История международного права и науки</w:t>
            </w: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1.1 Наука международного права в историческом аспекте</w:t>
            </w: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1.2 История науки международного права в странах Европы</w:t>
            </w:r>
          </w:p>
        </w:tc>
        <w:tc>
          <w:tcPr>
            <w:tcW w:w="424" w:type="dxa"/>
          </w:tcPr>
          <w:p w:rsidR="0025092A" w:rsidRDefault="0025092A">
            <w:pPr>
              <w:rPr>
                <w:sz w:val="28"/>
                <w:szCs w:val="28"/>
                <w:lang w:eastAsia="en-US"/>
              </w:rPr>
            </w:pPr>
          </w:p>
        </w:tc>
      </w:tr>
      <w:tr w:rsidR="0025092A" w:rsidTr="0025092A">
        <w:tc>
          <w:tcPr>
            <w:tcW w:w="8931" w:type="dxa"/>
          </w:tcPr>
          <w:p w:rsidR="0025092A" w:rsidRDefault="0025092A">
            <w:pPr>
              <w:jc w:val="both"/>
              <w:rPr>
                <w:sz w:val="28"/>
                <w:szCs w:val="28"/>
                <w:lang w:eastAsia="en-US"/>
              </w:rPr>
            </w:pP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2 Международное право от Венского конгресса (1814-1815 гг.) до Берлинского (Африканского) конгресса (1884-1885 гг.)</w:t>
            </w:r>
          </w:p>
        </w:tc>
        <w:tc>
          <w:tcPr>
            <w:tcW w:w="424" w:type="dxa"/>
          </w:tcPr>
          <w:p w:rsidR="0025092A" w:rsidRPr="00CF7AD9" w:rsidRDefault="0025092A">
            <w:pPr>
              <w:rPr>
                <w:sz w:val="28"/>
                <w:szCs w:val="28"/>
                <w:lang w:val="ru-RU"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2.1 Развитие международного права от Венского конгресса (1814-1815 гг.) до Парижского конгресса (1856 г.)</w:t>
            </w: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2.2 Международное право в период от Парижского конгресса (1856 г.) до Берлинского конгресса (1878 г.)</w:t>
            </w:r>
          </w:p>
        </w:tc>
        <w:tc>
          <w:tcPr>
            <w:tcW w:w="424" w:type="dxa"/>
          </w:tcPr>
          <w:p w:rsidR="0025092A" w:rsidRDefault="0025092A">
            <w:pPr>
              <w:rPr>
                <w:sz w:val="28"/>
                <w:szCs w:val="28"/>
                <w:lang w:eastAsia="en-US"/>
              </w:rPr>
            </w:pPr>
          </w:p>
        </w:tc>
      </w:tr>
      <w:tr w:rsidR="0025092A" w:rsidTr="0025092A">
        <w:tc>
          <w:tcPr>
            <w:tcW w:w="8931" w:type="dxa"/>
          </w:tcPr>
          <w:p w:rsidR="0025092A" w:rsidRDefault="0025092A">
            <w:pPr>
              <w:jc w:val="both"/>
              <w:rPr>
                <w:sz w:val="28"/>
                <w:szCs w:val="28"/>
                <w:lang w:eastAsia="en-US"/>
              </w:rPr>
            </w:pP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3 Процессы развития международного права от Берлинской (Африканской) конференции (1884-1885 гг.) до Гаагских конференций мира (1899 и 1907 гг.)</w:t>
            </w: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3.1 Основные процессы развития международного права от Берлинской (Африканской) конференции (1884-1885 гг.) до Гаагских конференций</w:t>
            </w: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3.2 Гаагские конференции мира (1899 и 1907 гг.)</w:t>
            </w:r>
          </w:p>
        </w:tc>
        <w:tc>
          <w:tcPr>
            <w:tcW w:w="424" w:type="dxa"/>
          </w:tcPr>
          <w:p w:rsidR="0025092A" w:rsidRDefault="0025092A">
            <w:pPr>
              <w:rPr>
                <w:sz w:val="28"/>
                <w:szCs w:val="28"/>
                <w:lang w:eastAsia="en-US"/>
              </w:rPr>
            </w:pPr>
          </w:p>
        </w:tc>
      </w:tr>
      <w:tr w:rsidR="0025092A" w:rsidTr="0025092A">
        <w:tc>
          <w:tcPr>
            <w:tcW w:w="8931" w:type="dxa"/>
          </w:tcPr>
          <w:p w:rsidR="0025092A" w:rsidRDefault="0025092A">
            <w:pPr>
              <w:jc w:val="both"/>
              <w:rPr>
                <w:sz w:val="28"/>
                <w:szCs w:val="28"/>
                <w:lang w:eastAsia="en-US"/>
              </w:rPr>
            </w:pP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eastAsia="en-US"/>
              </w:rPr>
            </w:pPr>
            <w:r>
              <w:rPr>
                <w:sz w:val="28"/>
                <w:szCs w:val="28"/>
                <w:lang w:eastAsia="en-US"/>
              </w:rPr>
              <w:t>Заключение</w:t>
            </w:r>
          </w:p>
        </w:tc>
        <w:tc>
          <w:tcPr>
            <w:tcW w:w="424" w:type="dxa"/>
          </w:tcPr>
          <w:p w:rsidR="0025092A" w:rsidRDefault="0025092A">
            <w:pPr>
              <w:rPr>
                <w:sz w:val="28"/>
                <w:szCs w:val="28"/>
                <w:lang w:eastAsia="en-US"/>
              </w:rPr>
            </w:pPr>
          </w:p>
        </w:tc>
      </w:tr>
      <w:tr w:rsidR="0025092A" w:rsidTr="0025092A">
        <w:tc>
          <w:tcPr>
            <w:tcW w:w="8931" w:type="dxa"/>
          </w:tcPr>
          <w:p w:rsidR="0025092A" w:rsidRDefault="0025092A">
            <w:pPr>
              <w:jc w:val="both"/>
              <w:rPr>
                <w:sz w:val="28"/>
                <w:szCs w:val="28"/>
                <w:lang w:eastAsia="en-US"/>
              </w:rPr>
            </w:pPr>
          </w:p>
        </w:tc>
        <w:tc>
          <w:tcPr>
            <w:tcW w:w="424" w:type="dxa"/>
          </w:tcPr>
          <w:p w:rsidR="0025092A" w:rsidRDefault="0025092A">
            <w:pPr>
              <w:rPr>
                <w:sz w:val="28"/>
                <w:szCs w:val="28"/>
                <w:lang w:eastAsia="en-US"/>
              </w:rPr>
            </w:pPr>
          </w:p>
        </w:tc>
      </w:tr>
      <w:tr w:rsidR="0025092A" w:rsidTr="0025092A">
        <w:tc>
          <w:tcPr>
            <w:tcW w:w="8931" w:type="dxa"/>
            <w:hideMark/>
          </w:tcPr>
          <w:p w:rsidR="0025092A" w:rsidRDefault="0025092A" w:rsidP="0025092A">
            <w:pPr>
              <w:jc w:val="both"/>
              <w:rPr>
                <w:sz w:val="28"/>
                <w:szCs w:val="28"/>
                <w:lang w:val="en-US" w:eastAsia="en-US"/>
              </w:rPr>
            </w:pPr>
            <w:r>
              <w:rPr>
                <w:sz w:val="28"/>
                <w:szCs w:val="28"/>
                <w:lang w:eastAsia="en-US"/>
              </w:rPr>
              <w:t>Список использованной литературы</w:t>
            </w:r>
          </w:p>
        </w:tc>
        <w:tc>
          <w:tcPr>
            <w:tcW w:w="424" w:type="dxa"/>
          </w:tcPr>
          <w:p w:rsidR="0025092A" w:rsidRDefault="0025092A">
            <w:pPr>
              <w:rPr>
                <w:sz w:val="28"/>
                <w:szCs w:val="28"/>
                <w:lang w:eastAsia="en-US"/>
              </w:rPr>
            </w:pPr>
          </w:p>
        </w:tc>
      </w:tr>
      <w:tr w:rsidR="0025092A" w:rsidTr="0025092A">
        <w:tc>
          <w:tcPr>
            <w:tcW w:w="8931" w:type="dxa"/>
          </w:tcPr>
          <w:p w:rsidR="0025092A" w:rsidRDefault="0025092A">
            <w:pPr>
              <w:jc w:val="both"/>
              <w:rPr>
                <w:sz w:val="28"/>
                <w:szCs w:val="28"/>
                <w:lang w:eastAsia="en-US"/>
              </w:rPr>
            </w:pPr>
          </w:p>
        </w:tc>
        <w:tc>
          <w:tcPr>
            <w:tcW w:w="424" w:type="dxa"/>
          </w:tcPr>
          <w:p w:rsidR="0025092A" w:rsidRDefault="0025092A">
            <w:pPr>
              <w:rPr>
                <w:sz w:val="28"/>
                <w:szCs w:val="28"/>
                <w:lang w:eastAsia="en-US"/>
              </w:rPr>
            </w:pPr>
          </w:p>
        </w:tc>
      </w:tr>
    </w:tbl>
    <w:p w:rsidR="0025092A" w:rsidRDefault="0025092A" w:rsidP="0025092A"/>
    <w:p w:rsidR="0025092A" w:rsidRDefault="0025092A" w:rsidP="00CF7AD9">
      <w:pPr>
        <w:spacing w:after="160" w:line="259" w:lineRule="auto"/>
      </w:pPr>
      <w:r>
        <w:br w:type="page"/>
      </w:r>
    </w:p>
    <w:p w:rsidR="0025092A" w:rsidRDefault="0025092A" w:rsidP="0025092A">
      <w:pPr>
        <w:pStyle w:val="1"/>
        <w:spacing w:before="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Заключение</w:t>
      </w:r>
    </w:p>
    <w:p w:rsidR="0025092A" w:rsidRDefault="0025092A" w:rsidP="0025092A">
      <w:pPr>
        <w:ind w:firstLine="720"/>
        <w:jc w:val="both"/>
        <w:rPr>
          <w:sz w:val="28"/>
          <w:szCs w:val="28"/>
        </w:rPr>
      </w:pPr>
    </w:p>
    <w:p w:rsidR="0025092A" w:rsidRDefault="0025092A" w:rsidP="0025092A">
      <w:pPr>
        <w:ind w:firstLine="720"/>
        <w:jc w:val="both"/>
        <w:rPr>
          <w:sz w:val="28"/>
          <w:szCs w:val="28"/>
        </w:rPr>
      </w:pPr>
    </w:p>
    <w:p w:rsidR="0025092A" w:rsidRDefault="0025092A" w:rsidP="0025092A">
      <w:pPr>
        <w:ind w:firstLine="720"/>
        <w:jc w:val="both"/>
        <w:rPr>
          <w:sz w:val="28"/>
          <w:szCs w:val="28"/>
        </w:rPr>
      </w:pPr>
      <w:r>
        <w:rPr>
          <w:sz w:val="28"/>
          <w:szCs w:val="28"/>
        </w:rPr>
        <w:t>Подведем итоги дипломной работы.</w:t>
      </w:r>
    </w:p>
    <w:p w:rsidR="0025092A" w:rsidRDefault="0025092A" w:rsidP="0025092A">
      <w:pPr>
        <w:ind w:firstLine="720"/>
        <w:jc w:val="both"/>
        <w:rPr>
          <w:sz w:val="28"/>
          <w:szCs w:val="28"/>
        </w:rPr>
      </w:pPr>
      <w:r>
        <w:rPr>
          <w:sz w:val="28"/>
          <w:szCs w:val="28"/>
        </w:rPr>
        <w:t>Международное право основывается на трех основных источниках: договорах и международных конвенциях, обычаях, общепризнанных принципах права и справедливости. Судебные решения, вынесенные международным судом и национальными судами, являются важными элементами правотворческого процесса международного сообщества. Резолюции Организации Объединенных Наций могут также оказать большое влияние на развитие так называемого обычного международного права, которое является синонимом общих принципов международного права. Нынешняя система международного права основана на концепции суверенного государства. Поэтому каждое государство вправе по своему усмотрению участвовать в переговорах по любому международному договору, подписывать или ратифицировать его. Аналогичным образом, каждое государство-член международного учреждения, такого, как Организация Объединенных Наций, может ратифицировать любую конвенцию, принятую этим учреждением.</w:t>
      </w:r>
    </w:p>
    <w:p w:rsidR="0025092A" w:rsidRDefault="0025092A">
      <w:pPr>
        <w:spacing w:after="160" w:line="259" w:lineRule="auto"/>
      </w:pPr>
      <w:r>
        <w:br w:type="page"/>
      </w:r>
    </w:p>
    <w:p w:rsidR="0025092A" w:rsidRDefault="0025092A" w:rsidP="0025092A">
      <w:pPr>
        <w:keepNext/>
        <w:keepLines/>
        <w:ind w:firstLine="709"/>
        <w:jc w:val="center"/>
        <w:outlineLvl w:val="0"/>
        <w:rPr>
          <w:rFonts w:eastAsia="Malgun Gothic"/>
          <w:sz w:val="28"/>
          <w:szCs w:val="28"/>
        </w:rPr>
      </w:pPr>
      <w:r>
        <w:rPr>
          <w:rFonts w:eastAsia="Malgun Gothic"/>
          <w:sz w:val="28"/>
          <w:szCs w:val="28"/>
        </w:rPr>
        <w:lastRenderedPageBreak/>
        <w:t>Список использованной литературы</w:t>
      </w:r>
    </w:p>
    <w:p w:rsidR="0025092A" w:rsidRDefault="0025092A" w:rsidP="0025092A">
      <w:pPr>
        <w:ind w:firstLine="709"/>
        <w:jc w:val="both"/>
        <w:rPr>
          <w:rFonts w:eastAsia="Calibri"/>
          <w:sz w:val="28"/>
          <w:szCs w:val="28"/>
          <w:lang w:val="x-none" w:eastAsia="en-US"/>
        </w:rPr>
      </w:pPr>
      <w:bookmarkStart w:id="0" w:name="_GoBack"/>
    </w:p>
    <w:p w:rsidR="0025092A" w:rsidRDefault="0025092A" w:rsidP="0025092A">
      <w:pPr>
        <w:numPr>
          <w:ilvl w:val="0"/>
          <w:numId w:val="1"/>
        </w:numPr>
        <w:spacing w:after="160" w:line="256" w:lineRule="auto"/>
        <w:ind w:left="0" w:firstLine="709"/>
        <w:contextualSpacing/>
        <w:jc w:val="both"/>
        <w:rPr>
          <w:rFonts w:eastAsia="Calibri"/>
          <w:sz w:val="28"/>
          <w:szCs w:val="28"/>
          <w:lang w:val="x-none" w:eastAsia="en-US"/>
        </w:rPr>
      </w:pPr>
      <w:r>
        <w:rPr>
          <w:rFonts w:eastAsia="Calibri"/>
          <w:sz w:val="28"/>
          <w:szCs w:val="28"/>
          <w:lang w:val="x-none" w:eastAsia="en-US"/>
        </w:rPr>
        <w:t xml:space="preserve">Вельяминов Г.М. Международное право. Опыты / Г.М. Вельяминов. </w:t>
      </w:r>
      <w:r>
        <w:rPr>
          <w:rFonts w:eastAsia="Calibri"/>
          <w:sz w:val="28"/>
          <w:szCs w:val="28"/>
          <w:lang w:eastAsia="en-US"/>
        </w:rPr>
        <w:t>–</w:t>
      </w:r>
      <w:r>
        <w:rPr>
          <w:rFonts w:eastAsia="Calibri"/>
          <w:sz w:val="28"/>
          <w:szCs w:val="28"/>
          <w:lang w:val="x-none" w:eastAsia="en-US"/>
        </w:rPr>
        <w:t xml:space="preserve"> М.: Статут, 2015. </w:t>
      </w:r>
      <w:r>
        <w:rPr>
          <w:rFonts w:eastAsia="Calibri"/>
          <w:sz w:val="28"/>
          <w:szCs w:val="28"/>
          <w:lang w:eastAsia="en-US"/>
        </w:rPr>
        <w:t>–</w:t>
      </w:r>
      <w:r>
        <w:rPr>
          <w:rFonts w:eastAsia="Calibri"/>
          <w:sz w:val="28"/>
          <w:szCs w:val="28"/>
          <w:lang w:val="x-none" w:eastAsia="en-US"/>
        </w:rPr>
        <w:t xml:space="preserve"> 780 c.</w:t>
      </w:r>
    </w:p>
    <w:p w:rsidR="0025092A" w:rsidRDefault="0025092A" w:rsidP="0025092A">
      <w:pPr>
        <w:numPr>
          <w:ilvl w:val="0"/>
          <w:numId w:val="1"/>
        </w:numPr>
        <w:spacing w:after="160" w:line="256" w:lineRule="auto"/>
        <w:ind w:left="0" w:firstLine="709"/>
        <w:contextualSpacing/>
        <w:jc w:val="both"/>
        <w:rPr>
          <w:rFonts w:eastAsia="Calibri"/>
          <w:sz w:val="28"/>
          <w:szCs w:val="28"/>
          <w:lang w:val="x-none" w:eastAsia="en-US"/>
        </w:rPr>
      </w:pPr>
      <w:r>
        <w:rPr>
          <w:rFonts w:eastAsia="Calibri"/>
          <w:sz w:val="28"/>
          <w:szCs w:val="28"/>
          <w:lang w:val="x-none" w:eastAsia="en-US"/>
        </w:rPr>
        <w:t>Стародубцев Г.С. Международное право</w:t>
      </w:r>
      <w:r>
        <w:rPr>
          <w:rFonts w:eastAsia="Calibri"/>
          <w:sz w:val="28"/>
          <w:szCs w:val="28"/>
          <w:lang w:eastAsia="en-US"/>
        </w:rPr>
        <w:t xml:space="preserve">. – </w:t>
      </w:r>
      <w:r>
        <w:rPr>
          <w:rFonts w:eastAsia="Calibri"/>
          <w:sz w:val="28"/>
          <w:szCs w:val="28"/>
          <w:lang w:val="x-none" w:eastAsia="en-US"/>
        </w:rPr>
        <w:t>М.: ИЦ РИОР, НИЦ ИНФРА-М, 2016</w:t>
      </w:r>
      <w:r>
        <w:rPr>
          <w:rFonts w:eastAsia="Calibri"/>
          <w:sz w:val="28"/>
          <w:szCs w:val="28"/>
          <w:lang w:eastAsia="en-US"/>
        </w:rPr>
        <w:t xml:space="preserve">. </w:t>
      </w:r>
      <w:r>
        <w:rPr>
          <w:rFonts w:eastAsia="Calibri"/>
          <w:sz w:val="28"/>
          <w:szCs w:val="28"/>
          <w:lang w:val="x-none" w:eastAsia="en-US"/>
        </w:rPr>
        <w:t>- 416с.</w:t>
      </w:r>
    </w:p>
    <w:p w:rsidR="0025092A" w:rsidRDefault="0025092A" w:rsidP="0025092A">
      <w:pPr>
        <w:numPr>
          <w:ilvl w:val="0"/>
          <w:numId w:val="1"/>
        </w:numPr>
        <w:spacing w:after="160" w:line="256" w:lineRule="auto"/>
        <w:ind w:left="0" w:firstLine="709"/>
        <w:contextualSpacing/>
        <w:jc w:val="both"/>
        <w:rPr>
          <w:rFonts w:eastAsia="Calibri"/>
          <w:sz w:val="28"/>
          <w:szCs w:val="28"/>
          <w:lang w:val="x-none" w:eastAsia="en-US"/>
        </w:rPr>
      </w:pPr>
      <w:r>
        <w:rPr>
          <w:rFonts w:eastAsia="Calibri"/>
          <w:sz w:val="28"/>
          <w:szCs w:val="28"/>
          <w:lang w:val="x-none" w:eastAsia="en-US"/>
        </w:rPr>
        <w:t xml:space="preserve">Глебов И.Н. Международное право. Словарь / И.Н. Глебов. </w:t>
      </w:r>
      <w:r>
        <w:rPr>
          <w:rFonts w:eastAsia="Calibri"/>
          <w:sz w:val="28"/>
          <w:szCs w:val="28"/>
          <w:lang w:eastAsia="en-US"/>
        </w:rPr>
        <w:t>–</w:t>
      </w:r>
      <w:r>
        <w:rPr>
          <w:rFonts w:eastAsia="Calibri"/>
          <w:sz w:val="28"/>
          <w:szCs w:val="28"/>
          <w:lang w:val="x-none" w:eastAsia="en-US"/>
        </w:rPr>
        <w:t xml:space="preserve"> М.: Дрофа, 2015. </w:t>
      </w:r>
      <w:r>
        <w:rPr>
          <w:rFonts w:eastAsia="Calibri"/>
          <w:sz w:val="28"/>
          <w:szCs w:val="28"/>
          <w:lang w:eastAsia="en-US"/>
        </w:rPr>
        <w:t>–</w:t>
      </w:r>
      <w:r>
        <w:rPr>
          <w:rFonts w:eastAsia="Calibri"/>
          <w:sz w:val="28"/>
          <w:szCs w:val="28"/>
          <w:lang w:val="x-none" w:eastAsia="en-US"/>
        </w:rPr>
        <w:t xml:space="preserve"> 464 c.</w:t>
      </w:r>
    </w:p>
    <w:p w:rsidR="0025092A" w:rsidRDefault="0025092A" w:rsidP="0025092A">
      <w:pPr>
        <w:numPr>
          <w:ilvl w:val="0"/>
          <w:numId w:val="1"/>
        </w:numPr>
        <w:spacing w:after="160" w:line="256" w:lineRule="auto"/>
        <w:ind w:left="0" w:firstLine="709"/>
        <w:contextualSpacing/>
        <w:jc w:val="both"/>
        <w:rPr>
          <w:rFonts w:eastAsia="Calibri"/>
          <w:sz w:val="28"/>
          <w:szCs w:val="28"/>
          <w:lang w:val="x-none" w:eastAsia="en-US"/>
        </w:rPr>
      </w:pPr>
      <w:r>
        <w:rPr>
          <w:rFonts w:eastAsia="Calibri"/>
          <w:sz w:val="28"/>
          <w:szCs w:val="28"/>
          <w:lang w:val="x-none" w:eastAsia="en-US"/>
        </w:rPr>
        <w:t xml:space="preserve">Шумилов В.М. Международное право / В.М. Шумилов. </w:t>
      </w:r>
      <w:r>
        <w:rPr>
          <w:rFonts w:eastAsia="Calibri"/>
          <w:sz w:val="28"/>
          <w:szCs w:val="28"/>
          <w:lang w:eastAsia="en-US"/>
        </w:rPr>
        <w:t>–</w:t>
      </w:r>
      <w:r>
        <w:rPr>
          <w:rFonts w:eastAsia="Calibri"/>
          <w:sz w:val="28"/>
          <w:szCs w:val="28"/>
          <w:lang w:val="x-none" w:eastAsia="en-US"/>
        </w:rPr>
        <w:t xml:space="preserve"> М.: Международные отношения, 2017. </w:t>
      </w:r>
      <w:r>
        <w:rPr>
          <w:rFonts w:eastAsia="Calibri"/>
          <w:sz w:val="28"/>
          <w:szCs w:val="28"/>
          <w:lang w:eastAsia="en-US"/>
        </w:rPr>
        <w:t>–</w:t>
      </w:r>
      <w:r>
        <w:rPr>
          <w:rFonts w:eastAsia="Calibri"/>
          <w:sz w:val="28"/>
          <w:szCs w:val="28"/>
          <w:lang w:val="x-none" w:eastAsia="en-US"/>
        </w:rPr>
        <w:t xml:space="preserve"> 528 c.</w:t>
      </w:r>
    </w:p>
    <w:p w:rsidR="0025092A" w:rsidRDefault="0025092A" w:rsidP="0025092A">
      <w:pPr>
        <w:numPr>
          <w:ilvl w:val="0"/>
          <w:numId w:val="1"/>
        </w:numPr>
        <w:spacing w:after="160" w:line="256" w:lineRule="auto"/>
        <w:ind w:left="0" w:firstLine="709"/>
        <w:contextualSpacing/>
        <w:jc w:val="both"/>
        <w:rPr>
          <w:rFonts w:eastAsia="Calibri"/>
          <w:sz w:val="28"/>
          <w:szCs w:val="28"/>
          <w:lang w:val="x-none" w:eastAsia="en-US"/>
        </w:rPr>
      </w:pPr>
      <w:proofErr w:type="spellStart"/>
      <w:r>
        <w:rPr>
          <w:rFonts w:eastAsia="Calibri"/>
          <w:sz w:val="28"/>
          <w:szCs w:val="28"/>
          <w:lang w:val="x-none" w:eastAsia="en-US"/>
        </w:rPr>
        <w:t>Preparation</w:t>
      </w:r>
      <w:proofErr w:type="spellEnd"/>
      <w:r>
        <w:rPr>
          <w:rFonts w:eastAsia="Calibri"/>
          <w:sz w:val="28"/>
          <w:szCs w:val="28"/>
          <w:lang w:val="x-none" w:eastAsia="en-US"/>
        </w:rPr>
        <w:t xml:space="preserve"> </w:t>
      </w:r>
      <w:proofErr w:type="spellStart"/>
      <w:r>
        <w:rPr>
          <w:rFonts w:eastAsia="Calibri"/>
          <w:sz w:val="28"/>
          <w:szCs w:val="28"/>
          <w:lang w:val="x-none" w:eastAsia="en-US"/>
        </w:rPr>
        <w:t>for</w:t>
      </w:r>
      <w:proofErr w:type="spellEnd"/>
      <w:r>
        <w:rPr>
          <w:rFonts w:eastAsia="Calibri"/>
          <w:sz w:val="28"/>
          <w:szCs w:val="28"/>
          <w:lang w:val="x-none" w:eastAsia="en-US"/>
        </w:rPr>
        <w:t xml:space="preserve"> </w:t>
      </w:r>
      <w:proofErr w:type="spellStart"/>
      <w:r>
        <w:rPr>
          <w:rFonts w:eastAsia="Calibri"/>
          <w:sz w:val="28"/>
          <w:szCs w:val="28"/>
          <w:lang w:val="x-none" w:eastAsia="en-US"/>
        </w:rPr>
        <w:t>the</w:t>
      </w:r>
      <w:proofErr w:type="spellEnd"/>
      <w:r>
        <w:rPr>
          <w:rFonts w:eastAsia="Calibri"/>
          <w:sz w:val="28"/>
          <w:szCs w:val="28"/>
          <w:lang w:val="x-none" w:eastAsia="en-US"/>
        </w:rPr>
        <w:t xml:space="preserve"> </w:t>
      </w:r>
      <w:proofErr w:type="spellStart"/>
      <w:r>
        <w:rPr>
          <w:rFonts w:eastAsia="Calibri"/>
          <w:sz w:val="28"/>
          <w:szCs w:val="28"/>
          <w:lang w:val="x-none" w:eastAsia="en-US"/>
        </w:rPr>
        <w:t>Third</w:t>
      </w:r>
      <w:proofErr w:type="spellEnd"/>
      <w:r>
        <w:rPr>
          <w:rFonts w:eastAsia="Calibri"/>
          <w:sz w:val="28"/>
          <w:szCs w:val="28"/>
          <w:lang w:val="x-none" w:eastAsia="en-US"/>
        </w:rPr>
        <w:t xml:space="preserve"> </w:t>
      </w:r>
      <w:proofErr w:type="spellStart"/>
      <w:r>
        <w:rPr>
          <w:rFonts w:eastAsia="Calibri"/>
          <w:sz w:val="28"/>
          <w:szCs w:val="28"/>
          <w:lang w:val="x-none" w:eastAsia="en-US"/>
        </w:rPr>
        <w:t>Hague</w:t>
      </w:r>
      <w:proofErr w:type="spellEnd"/>
      <w:r>
        <w:rPr>
          <w:rFonts w:eastAsia="Calibri"/>
          <w:sz w:val="28"/>
          <w:szCs w:val="28"/>
          <w:lang w:val="x-none" w:eastAsia="en-US"/>
        </w:rPr>
        <w:t xml:space="preserve"> </w:t>
      </w:r>
      <w:proofErr w:type="spellStart"/>
      <w:r>
        <w:rPr>
          <w:rFonts w:eastAsia="Calibri"/>
          <w:sz w:val="28"/>
          <w:szCs w:val="28"/>
          <w:lang w:val="x-none" w:eastAsia="en-US"/>
        </w:rPr>
        <w:t>Peace</w:t>
      </w:r>
      <w:proofErr w:type="spellEnd"/>
      <w:r>
        <w:rPr>
          <w:rFonts w:eastAsia="Calibri"/>
          <w:sz w:val="28"/>
          <w:szCs w:val="28"/>
          <w:lang w:val="x-none" w:eastAsia="en-US"/>
        </w:rPr>
        <w:t xml:space="preserve"> </w:t>
      </w:r>
      <w:proofErr w:type="spellStart"/>
      <w:r>
        <w:rPr>
          <w:rFonts w:eastAsia="Calibri"/>
          <w:sz w:val="28"/>
          <w:szCs w:val="28"/>
          <w:lang w:val="x-none" w:eastAsia="en-US"/>
        </w:rPr>
        <w:t>Conference</w:t>
      </w:r>
      <w:proofErr w:type="spellEnd"/>
      <w:r>
        <w:rPr>
          <w:rFonts w:eastAsia="Calibri"/>
          <w:sz w:val="28"/>
          <w:szCs w:val="28"/>
          <w:lang w:val="x-none" w:eastAsia="en-US"/>
        </w:rPr>
        <w:t xml:space="preserve">. // </w:t>
      </w:r>
      <w:proofErr w:type="spellStart"/>
      <w:r>
        <w:rPr>
          <w:rFonts w:eastAsia="Calibri"/>
          <w:sz w:val="28"/>
          <w:szCs w:val="28"/>
          <w:lang w:val="x-none" w:eastAsia="en-US"/>
        </w:rPr>
        <w:t>Report</w:t>
      </w:r>
      <w:proofErr w:type="spellEnd"/>
      <w:r>
        <w:rPr>
          <w:rFonts w:eastAsia="Calibri"/>
          <w:sz w:val="28"/>
          <w:szCs w:val="28"/>
          <w:lang w:val="x-none" w:eastAsia="en-US"/>
        </w:rPr>
        <w:t xml:space="preserve">. </w:t>
      </w:r>
      <w:proofErr w:type="spellStart"/>
      <w:r>
        <w:rPr>
          <w:rFonts w:eastAsia="Calibri"/>
          <w:sz w:val="28"/>
          <w:szCs w:val="28"/>
          <w:lang w:val="x-none" w:eastAsia="en-US"/>
        </w:rPr>
        <w:t>Carnegie</w:t>
      </w:r>
      <w:proofErr w:type="spellEnd"/>
      <w:r>
        <w:rPr>
          <w:rFonts w:eastAsia="Calibri"/>
          <w:sz w:val="28"/>
          <w:szCs w:val="28"/>
          <w:lang w:val="x-none" w:eastAsia="en-US"/>
        </w:rPr>
        <w:t xml:space="preserve"> </w:t>
      </w:r>
      <w:proofErr w:type="spellStart"/>
      <w:r>
        <w:rPr>
          <w:rFonts w:eastAsia="Calibri"/>
          <w:sz w:val="28"/>
          <w:szCs w:val="28"/>
          <w:lang w:val="x-none" w:eastAsia="en-US"/>
        </w:rPr>
        <w:t>Endowment</w:t>
      </w:r>
      <w:proofErr w:type="spellEnd"/>
      <w:r>
        <w:rPr>
          <w:rFonts w:eastAsia="Calibri"/>
          <w:sz w:val="28"/>
          <w:szCs w:val="28"/>
          <w:lang w:val="x-none" w:eastAsia="en-US"/>
        </w:rPr>
        <w:t xml:space="preserve"> </w:t>
      </w:r>
      <w:proofErr w:type="spellStart"/>
      <w:r>
        <w:rPr>
          <w:rFonts w:eastAsia="Calibri"/>
          <w:sz w:val="28"/>
          <w:szCs w:val="28"/>
          <w:lang w:val="x-none" w:eastAsia="en-US"/>
        </w:rPr>
        <w:t>for</w:t>
      </w:r>
      <w:proofErr w:type="spellEnd"/>
      <w:r>
        <w:rPr>
          <w:rFonts w:eastAsia="Calibri"/>
          <w:sz w:val="28"/>
          <w:szCs w:val="28"/>
          <w:lang w:val="x-none" w:eastAsia="en-US"/>
        </w:rPr>
        <w:t xml:space="preserve"> </w:t>
      </w:r>
      <w:proofErr w:type="spellStart"/>
      <w:r>
        <w:rPr>
          <w:rFonts w:eastAsia="Calibri"/>
          <w:sz w:val="28"/>
          <w:szCs w:val="28"/>
          <w:lang w:val="x-none" w:eastAsia="en-US"/>
        </w:rPr>
        <w:t>International</w:t>
      </w:r>
      <w:proofErr w:type="spellEnd"/>
      <w:r>
        <w:rPr>
          <w:rFonts w:eastAsia="Calibri"/>
          <w:sz w:val="28"/>
          <w:szCs w:val="28"/>
          <w:lang w:val="x-none" w:eastAsia="en-US"/>
        </w:rPr>
        <w:t xml:space="preserve"> </w:t>
      </w:r>
      <w:proofErr w:type="spellStart"/>
      <w:r>
        <w:rPr>
          <w:rFonts w:eastAsia="Calibri"/>
          <w:sz w:val="28"/>
          <w:szCs w:val="28"/>
          <w:lang w:val="x-none" w:eastAsia="en-US"/>
        </w:rPr>
        <w:t>Peace</w:t>
      </w:r>
      <w:proofErr w:type="spellEnd"/>
      <w:r>
        <w:rPr>
          <w:rFonts w:eastAsia="Calibri"/>
          <w:sz w:val="28"/>
          <w:szCs w:val="28"/>
          <w:lang w:val="x-none" w:eastAsia="en-US"/>
        </w:rPr>
        <w:t>, 1915. С. 134.</w:t>
      </w:r>
    </w:p>
    <w:bookmarkEnd w:id="0"/>
    <w:p w:rsidR="00814A80" w:rsidRDefault="00814A80"/>
    <w:sectPr w:rsidR="00814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71F4"/>
    <w:multiLevelType w:val="hybridMultilevel"/>
    <w:tmpl w:val="F8628C7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84"/>
    <w:rsid w:val="00241384"/>
    <w:rsid w:val="0025092A"/>
    <w:rsid w:val="00814A80"/>
    <w:rsid w:val="00C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1B33"/>
  <w15:chartTrackingRefBased/>
  <w15:docId w15:val="{62169587-17A7-40F5-8D0B-EB3E5784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09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25092A"/>
    <w:pPr>
      <w:spacing w:after="0" w:line="240" w:lineRule="auto"/>
    </w:pPr>
    <w:rPr>
      <w:rFonts w:ascii="Times New Roman" w:eastAsia="Times New Roman" w:hAnsi="Times New Roman" w:cs="Times New Roman"/>
      <w:sz w:val="20"/>
      <w:szCs w:val="20"/>
      <w:lang w:val="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5092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11">
      <w:bodyDiv w:val="1"/>
      <w:marLeft w:val="0"/>
      <w:marRight w:val="0"/>
      <w:marTop w:val="0"/>
      <w:marBottom w:val="0"/>
      <w:divBdr>
        <w:top w:val="none" w:sz="0" w:space="0" w:color="auto"/>
        <w:left w:val="none" w:sz="0" w:space="0" w:color="auto"/>
        <w:bottom w:val="none" w:sz="0" w:space="0" w:color="auto"/>
        <w:right w:val="none" w:sz="0" w:space="0" w:color="auto"/>
      </w:divBdr>
    </w:div>
    <w:div w:id="1357779557">
      <w:bodyDiv w:val="1"/>
      <w:marLeft w:val="0"/>
      <w:marRight w:val="0"/>
      <w:marTop w:val="0"/>
      <w:marBottom w:val="0"/>
      <w:divBdr>
        <w:top w:val="none" w:sz="0" w:space="0" w:color="auto"/>
        <w:left w:val="none" w:sz="0" w:space="0" w:color="auto"/>
        <w:bottom w:val="none" w:sz="0" w:space="0" w:color="auto"/>
        <w:right w:val="none" w:sz="0" w:space="0" w:color="auto"/>
      </w:divBdr>
    </w:div>
    <w:div w:id="1647276569">
      <w:bodyDiv w:val="1"/>
      <w:marLeft w:val="0"/>
      <w:marRight w:val="0"/>
      <w:marTop w:val="0"/>
      <w:marBottom w:val="0"/>
      <w:divBdr>
        <w:top w:val="none" w:sz="0" w:space="0" w:color="auto"/>
        <w:left w:val="none" w:sz="0" w:space="0" w:color="auto"/>
        <w:bottom w:val="none" w:sz="0" w:space="0" w:color="auto"/>
        <w:right w:val="none" w:sz="0" w:space="0" w:color="auto"/>
      </w:divBdr>
    </w:div>
    <w:div w:id="21321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2019-10-02T08:51:00Z</dcterms:created>
  <dcterms:modified xsi:type="dcterms:W3CDTF">2019-10-02T09:32:00Z</dcterms:modified>
</cp:coreProperties>
</file>