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29" w:rsidRPr="00725C29" w:rsidRDefault="00725C29" w:rsidP="00725C2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</w:p>
    <w:p w:rsidR="00725C29" w:rsidRPr="00725C29" w:rsidRDefault="00725C29" w:rsidP="00725C2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C29" w:rsidRDefault="00725C29" w:rsidP="00725C2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C29">
        <w:rPr>
          <w:rFonts w:ascii="Times New Roman" w:hAnsi="Times New Roman" w:cs="Times New Roman"/>
          <w:b/>
          <w:bCs/>
          <w:sz w:val="28"/>
          <w:szCs w:val="28"/>
        </w:rPr>
        <w:t>Креативные услуги: перспективы развития и опыт региона</w:t>
      </w:r>
    </w:p>
    <w:p w:rsidR="00725C29" w:rsidRDefault="00725C29" w:rsidP="00725C2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Стр_72</w:t>
      </w:r>
    </w:p>
    <w:p w:rsidR="00725C29" w:rsidRPr="00725C29" w:rsidRDefault="00725C29" w:rsidP="00725C29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</w:p>
    <w:p w:rsidR="00725C29" w:rsidRDefault="00725C29" w:rsidP="00725C29"/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Введение</w:t>
      </w:r>
      <w:r w:rsidRPr="00725C29">
        <w:rPr>
          <w:rFonts w:ascii="Times New Roman" w:hAnsi="Times New Roman" w:cs="Times New Roman"/>
          <w:sz w:val="28"/>
          <w:szCs w:val="28"/>
        </w:rPr>
        <w:tab/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1 Теоретические аспекты развития рынка креативных услуг</w:t>
      </w:r>
      <w:r w:rsidRPr="00725C29">
        <w:rPr>
          <w:rFonts w:ascii="Times New Roman" w:hAnsi="Times New Roman" w:cs="Times New Roman"/>
          <w:sz w:val="28"/>
          <w:szCs w:val="28"/>
        </w:rPr>
        <w:tab/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1.1 Генезис развития рынка креативных услуг</w:t>
      </w:r>
      <w:r w:rsidRPr="00725C29">
        <w:rPr>
          <w:rFonts w:ascii="Times New Roman" w:hAnsi="Times New Roman" w:cs="Times New Roman"/>
          <w:sz w:val="28"/>
          <w:szCs w:val="28"/>
        </w:rPr>
        <w:tab/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1.2 Сущность, содержание и виды креативных услуг</w:t>
      </w:r>
      <w:r w:rsidRPr="00725C29">
        <w:rPr>
          <w:rFonts w:ascii="Times New Roman" w:hAnsi="Times New Roman" w:cs="Times New Roman"/>
          <w:sz w:val="28"/>
          <w:szCs w:val="28"/>
        </w:rPr>
        <w:tab/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1.3 Государственное регулирование рынка креативных услуг</w:t>
      </w:r>
      <w:r w:rsidRPr="00725C29">
        <w:rPr>
          <w:rFonts w:ascii="Times New Roman" w:hAnsi="Times New Roman" w:cs="Times New Roman"/>
          <w:sz w:val="28"/>
          <w:szCs w:val="28"/>
        </w:rPr>
        <w:tab/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2 Анализ развития рынка креативных услуг в Республике Казахстан</w:t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2.1 Тенденции развития рынка креативных услуг в Республике Казахстан</w:t>
      </w:r>
      <w:r w:rsidRPr="00725C29">
        <w:rPr>
          <w:rFonts w:ascii="Times New Roman" w:hAnsi="Times New Roman" w:cs="Times New Roman"/>
          <w:sz w:val="28"/>
          <w:szCs w:val="28"/>
        </w:rPr>
        <w:tab/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2.2 Оценка развития рынка креативных услуг города Алматы</w:t>
      </w:r>
      <w:r w:rsidRPr="00725C29">
        <w:rPr>
          <w:rFonts w:ascii="Times New Roman" w:hAnsi="Times New Roman" w:cs="Times New Roman"/>
          <w:sz w:val="28"/>
          <w:szCs w:val="28"/>
        </w:rPr>
        <w:tab/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2.3 Анализ мотивационных механизмов для п</w:t>
      </w:r>
      <w:r>
        <w:rPr>
          <w:rFonts w:ascii="Times New Roman" w:hAnsi="Times New Roman" w:cs="Times New Roman"/>
          <w:sz w:val="28"/>
          <w:szCs w:val="28"/>
        </w:rPr>
        <w:t>роизводителей креативных услуг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3 Пути совершенствования рынка креативных услуг в Республике Казахстан</w:t>
      </w:r>
      <w:r w:rsidRPr="00725C29">
        <w:rPr>
          <w:rFonts w:ascii="Times New Roman" w:hAnsi="Times New Roman" w:cs="Times New Roman"/>
          <w:sz w:val="28"/>
          <w:szCs w:val="28"/>
        </w:rPr>
        <w:tab/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r w:rsidRPr="00725C2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725C29">
        <w:rPr>
          <w:rFonts w:ascii="Times New Roman" w:hAnsi="Times New Roman" w:cs="Times New Roman"/>
          <w:sz w:val="28"/>
          <w:szCs w:val="28"/>
        </w:rPr>
        <w:tab/>
      </w:r>
    </w:p>
    <w:p w:rsidR="00725C29" w:rsidRDefault="0072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5C29" w:rsidRPr="00506151" w:rsidRDefault="00725C29" w:rsidP="00725C29">
      <w:pPr>
        <w:tabs>
          <w:tab w:val="left" w:pos="984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50615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25C29" w:rsidRDefault="00725C29" w:rsidP="00725C29">
      <w:pPr>
        <w:tabs>
          <w:tab w:val="left" w:pos="984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C29" w:rsidRPr="00782648" w:rsidRDefault="00725C29" w:rsidP="00725C29">
      <w:pPr>
        <w:tabs>
          <w:tab w:val="left" w:pos="984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C29" w:rsidRPr="0032272E" w:rsidRDefault="00725C29" w:rsidP="00725C29">
      <w:pPr>
        <w:tabs>
          <w:tab w:val="left" w:pos="9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2272E">
        <w:rPr>
          <w:rFonts w:ascii="Times New Roman" w:hAnsi="Times New Roman" w:cs="Times New Roman"/>
          <w:sz w:val="28"/>
          <w:szCs w:val="28"/>
        </w:rPr>
        <w:t xml:space="preserve">Зарождающийся и междисциплинарный характер креативной экономики требует более глубокого и внимательного рассмотрения темы таким образом, чтобы обеспечить более точную концептуальную согласованность, а также коллективное, интегрированное и эффективное построение темы. Постоянное совпадение между креативной экономикой и другими концепциями по-прежнему порождает ряд путаниц, которые препятствуют демаркации границ и областей применения. Центральное место концепции креативной экономики в ее секторах в отличие от центральной роли в их сетевой динамике и производственных механизмах заслуживает более широкого обсуждения. Логика не является ни бинарной, ни исключающей, а скорее имеет более сложную, всеобъемлющую природу. Для разработки более всеобъемлющего подхода необходимо </w:t>
      </w:r>
      <w:proofErr w:type="gramStart"/>
      <w:r w:rsidRPr="0032272E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Pr="0032272E">
        <w:rPr>
          <w:rFonts w:ascii="Times New Roman" w:hAnsi="Times New Roman" w:cs="Times New Roman"/>
          <w:sz w:val="28"/>
          <w:szCs w:val="28"/>
        </w:rPr>
        <w:t xml:space="preserve"> как отраслевой, так и территориальный (будь то физический или цифровой) характер. Тот факт, что креативная экономика охватывает такое большое разнообразие секторов (от собственности до средств массовой информации), требует анализа существующих особенностей и различий между секторами, чтобы избежать обобщения перспектив и подходов и множества различных динамик и реалий, из которых состоит креативная экономика. Понимание экономических сетей и знаний, созданных между различными секторами креативной экономики и внутри них, требует более тщательного изучения типов и интенсивности связей, а также культурной самобытности и динамики внутри секторов и между ними.</w:t>
      </w:r>
    </w:p>
    <w:p w:rsidR="00725C29" w:rsidRDefault="0072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5C29" w:rsidRDefault="00725C29" w:rsidP="00725C2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6151">
        <w:rPr>
          <w:rFonts w:ascii="Times New Roman" w:hAnsi="Times New Roman" w:cs="Times New Roman"/>
          <w:sz w:val="28"/>
          <w:szCs w:val="28"/>
          <w:lang w:val="kk-KZ"/>
        </w:rPr>
        <w:lastRenderedPageBreak/>
        <w:t>Список использованой литературы</w:t>
      </w:r>
    </w:p>
    <w:p w:rsidR="00725C29" w:rsidRDefault="00725C29" w:rsidP="00725C2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5C29" w:rsidRPr="00C3176D" w:rsidRDefault="00725C29" w:rsidP="00725C2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5C29" w:rsidRPr="004C6AE1" w:rsidRDefault="00725C29" w:rsidP="00725C29">
      <w:pPr>
        <w:pStyle w:val="a3"/>
        <w:numPr>
          <w:ilvl w:val="0"/>
          <w:numId w:val="1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6AE1">
        <w:rPr>
          <w:rFonts w:ascii="Times New Roman" w:hAnsi="Times New Roman" w:cs="Times New Roman"/>
          <w:sz w:val="28"/>
          <w:szCs w:val="28"/>
        </w:rPr>
        <w:t>Галушко М. В Казахстане 17,5 тысячи компаний заняты в сфере креативной индустрии // Капитал: центр деловой информации. URL: https://kapital.kz/ economic/77600/v-kazakhstane-17-5-tysyachi-kompaniy-zanyaty-v-sfere-kreativnoyindustrii.html (дата обращения: 25.06.2020).</w:t>
      </w:r>
    </w:p>
    <w:p w:rsidR="00725C29" w:rsidRPr="004C6AE1" w:rsidRDefault="00725C29" w:rsidP="00725C29">
      <w:pPr>
        <w:pStyle w:val="a3"/>
        <w:numPr>
          <w:ilvl w:val="0"/>
          <w:numId w:val="1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6AE1">
        <w:rPr>
          <w:rFonts w:ascii="Times New Roman" w:hAnsi="Times New Roman" w:cs="Times New Roman"/>
          <w:sz w:val="28"/>
          <w:szCs w:val="28"/>
          <w:lang w:val="en-US"/>
        </w:rPr>
        <w:t>Scott A. J. Capitalism and urbanization in a new key? The cognitive-cultural dimension // Social Forces. 2007. Vol. 85. P. 1465–1482.</w:t>
      </w:r>
    </w:p>
    <w:p w:rsidR="00725C29" w:rsidRPr="004C6AE1" w:rsidRDefault="00725C29" w:rsidP="00725C29">
      <w:pPr>
        <w:pStyle w:val="a3"/>
        <w:numPr>
          <w:ilvl w:val="0"/>
          <w:numId w:val="1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Coy P. The Creative Economy. Which companies will thrive in the coming years? Those that value ideas above all else // Bloomberg Business week. </w:t>
      </w:r>
      <w:r w:rsidRPr="004C6AE1">
        <w:rPr>
          <w:rFonts w:ascii="Times New Roman" w:hAnsi="Times New Roman" w:cs="Times New Roman"/>
          <w:sz w:val="28"/>
          <w:szCs w:val="28"/>
        </w:rPr>
        <w:t>URL: https://www.bloomberg.com/news/articles/2000-08-27/the-creative-economy (дата обращения: 25.06.2020).</w:t>
      </w:r>
    </w:p>
    <w:p w:rsidR="00725C29" w:rsidRPr="004C6AE1" w:rsidRDefault="00725C29" w:rsidP="00725C29">
      <w:pPr>
        <w:pStyle w:val="a3"/>
        <w:numPr>
          <w:ilvl w:val="0"/>
          <w:numId w:val="1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Florida R. The rise of the creative class. New </w:t>
      </w:r>
      <w:proofErr w:type="gramStart"/>
      <w:r w:rsidRPr="004C6AE1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Basic Books, 2002. 6. </w:t>
      </w:r>
      <w:proofErr w:type="spellStart"/>
      <w:r w:rsidRPr="004C6AE1">
        <w:rPr>
          <w:rFonts w:ascii="Times New Roman" w:hAnsi="Times New Roman" w:cs="Times New Roman"/>
          <w:sz w:val="28"/>
          <w:szCs w:val="28"/>
          <w:lang w:val="en-US"/>
        </w:rPr>
        <w:t>Vasin</w:t>
      </w:r>
      <w:proofErr w:type="spell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4C6AE1">
        <w:rPr>
          <w:rFonts w:ascii="Times New Roman" w:hAnsi="Times New Roman" w:cs="Times New Roman"/>
          <w:sz w:val="28"/>
          <w:szCs w:val="28"/>
          <w:lang w:val="en-US"/>
        </w:rPr>
        <w:t>Gamidullaeva</w:t>
      </w:r>
      <w:proofErr w:type="spell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L., </w:t>
      </w:r>
      <w:proofErr w:type="spellStart"/>
      <w:r w:rsidRPr="004C6AE1">
        <w:rPr>
          <w:rFonts w:ascii="Times New Roman" w:hAnsi="Times New Roman" w:cs="Times New Roman"/>
          <w:sz w:val="28"/>
          <w:szCs w:val="28"/>
          <w:lang w:val="en-US"/>
        </w:rPr>
        <w:t>Tolstykh</w:t>
      </w:r>
      <w:proofErr w:type="spell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T. [et al.]. From innovation system through institutional transformation to digital innovation ecosystem // Innovation Management and Education Excellence through Vision </w:t>
      </w:r>
      <w:proofErr w:type="gramStart"/>
      <w:r w:rsidRPr="004C6AE1">
        <w:rPr>
          <w:rFonts w:ascii="Times New Roman" w:hAnsi="Times New Roman" w:cs="Times New Roman"/>
          <w:sz w:val="28"/>
          <w:szCs w:val="28"/>
          <w:lang w:val="en-US"/>
        </w:rPr>
        <w:t>2020 :</w:t>
      </w:r>
      <w:proofErr w:type="gram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proceedings of the 31st International Business Information Management Association Conference (IBIMA 2018). </w:t>
      </w:r>
      <w:proofErr w:type="gramStart"/>
      <w:r w:rsidRPr="004C6AE1">
        <w:rPr>
          <w:rFonts w:ascii="Times New Roman" w:hAnsi="Times New Roman" w:cs="Times New Roman"/>
          <w:sz w:val="28"/>
          <w:szCs w:val="28"/>
          <w:lang w:val="en-US"/>
        </w:rPr>
        <w:t>Milan :</w:t>
      </w:r>
      <w:proofErr w:type="gram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International Business Information Management Association, 2018. P. 4620–4633.</w:t>
      </w:r>
    </w:p>
    <w:p w:rsidR="00725C29" w:rsidRPr="004C6AE1" w:rsidRDefault="00725C29" w:rsidP="00725C29">
      <w:pPr>
        <w:pStyle w:val="a3"/>
        <w:numPr>
          <w:ilvl w:val="0"/>
          <w:numId w:val="1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4C6AE1">
        <w:rPr>
          <w:rFonts w:ascii="Times New Roman" w:hAnsi="Times New Roman" w:cs="Times New Roman"/>
          <w:sz w:val="28"/>
          <w:szCs w:val="28"/>
          <w:lang w:val="en-US"/>
        </w:rPr>
        <w:t>Gamidullaeva</w:t>
      </w:r>
      <w:proofErr w:type="spell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L. A., </w:t>
      </w:r>
      <w:proofErr w:type="spellStart"/>
      <w:r w:rsidRPr="004C6AE1">
        <w:rPr>
          <w:rFonts w:ascii="Times New Roman" w:hAnsi="Times New Roman" w:cs="Times New Roman"/>
          <w:sz w:val="28"/>
          <w:szCs w:val="28"/>
          <w:lang w:val="en-US"/>
        </w:rPr>
        <w:t>Chernetsov</w:t>
      </w:r>
      <w:proofErr w:type="spell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M. V., </w:t>
      </w:r>
      <w:proofErr w:type="spellStart"/>
      <w:r w:rsidRPr="004C6AE1">
        <w:rPr>
          <w:rFonts w:ascii="Times New Roman" w:hAnsi="Times New Roman" w:cs="Times New Roman"/>
          <w:sz w:val="28"/>
          <w:szCs w:val="28"/>
          <w:lang w:val="en-US"/>
        </w:rPr>
        <w:t>Chistilina</w:t>
      </w:r>
      <w:proofErr w:type="spell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E. V. Inter-</w:t>
      </w:r>
      <w:proofErr w:type="spellStart"/>
      <w:r w:rsidRPr="004C6AE1">
        <w:rPr>
          <w:rFonts w:ascii="Times New Roman" w:hAnsi="Times New Roman" w:cs="Times New Roman"/>
          <w:sz w:val="28"/>
          <w:szCs w:val="28"/>
          <w:lang w:val="en-US"/>
        </w:rPr>
        <w:t>organisational</w:t>
      </w:r>
      <w:proofErr w:type="spell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networks and innovation intermediation in the digital age // Vision 2020: Sustainable Economic development, Innovation Management, and Global </w:t>
      </w:r>
      <w:proofErr w:type="gramStart"/>
      <w:r w:rsidRPr="004C6AE1">
        <w:rPr>
          <w:rFonts w:ascii="Times New Roman" w:hAnsi="Times New Roman" w:cs="Times New Roman"/>
          <w:sz w:val="28"/>
          <w:szCs w:val="28"/>
          <w:lang w:val="en-US"/>
        </w:rPr>
        <w:t>Growth :</w:t>
      </w:r>
      <w:proofErr w:type="gramEnd"/>
      <w:r w:rsidRPr="004C6AE1">
        <w:rPr>
          <w:rFonts w:ascii="Times New Roman" w:hAnsi="Times New Roman" w:cs="Times New Roman"/>
          <w:sz w:val="28"/>
          <w:szCs w:val="28"/>
          <w:lang w:val="en-US"/>
        </w:rPr>
        <w:t xml:space="preserve"> proceedings of the 30th International Business Information Management Association Conference (IBIMA 2017). </w:t>
      </w:r>
      <w:proofErr w:type="spellStart"/>
      <w:r w:rsidRPr="004C6AE1">
        <w:rPr>
          <w:rFonts w:ascii="Times New Roman" w:hAnsi="Times New Roman" w:cs="Times New Roman"/>
          <w:sz w:val="28"/>
          <w:szCs w:val="28"/>
        </w:rPr>
        <w:t>Madrid</w:t>
      </w:r>
      <w:proofErr w:type="spellEnd"/>
      <w:r w:rsidRPr="004C6AE1">
        <w:rPr>
          <w:rFonts w:ascii="Times New Roman" w:hAnsi="Times New Roman" w:cs="Times New Roman"/>
          <w:sz w:val="28"/>
          <w:szCs w:val="28"/>
        </w:rPr>
        <w:t>, 2017. P. 3354–3363.</w:t>
      </w:r>
    </w:p>
    <w:p w:rsidR="00725C29" w:rsidRPr="00725C29" w:rsidRDefault="00725C29" w:rsidP="00725C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6AC8" w:rsidRDefault="00725C29" w:rsidP="00725C29">
      <w:r>
        <w:t> </w:t>
      </w:r>
    </w:p>
    <w:sectPr w:rsidR="00CF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10C05"/>
    <w:multiLevelType w:val="hybridMultilevel"/>
    <w:tmpl w:val="8DDA6F40"/>
    <w:lvl w:ilvl="0" w:tplc="7710156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55"/>
    <w:rsid w:val="00725C29"/>
    <w:rsid w:val="00CF6AC8"/>
    <w:rsid w:val="00D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9FD2"/>
  <w15:chartTrackingRefBased/>
  <w15:docId w15:val="{52F0B07A-17DE-467B-A9A8-971D5A3F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2022-10-14T05:43:00Z</dcterms:created>
  <dcterms:modified xsi:type="dcterms:W3CDTF">2022-10-14T05:52:00Z</dcterms:modified>
</cp:coreProperties>
</file>