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F" w:rsidRDefault="000A5B2F" w:rsidP="000A5B2F">
      <w:pPr>
        <w:widowControl w:val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2E6318">
        <w:rPr>
          <w:color w:val="000000"/>
          <w:sz w:val="28"/>
          <w:szCs w:val="28"/>
          <w:shd w:val="clear" w:color="auto" w:fill="FFFFFF"/>
        </w:rPr>
        <w:t>Кредитование инвестиционных проектов банками второго уровня РК на примере АО «»</w:t>
      </w:r>
    </w:p>
    <w:p w:rsidR="000A5B2F" w:rsidRDefault="000A5B2F" w:rsidP="000A5B2F">
      <w:pPr>
        <w:widowControl w:val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Стр-85</w:t>
      </w:r>
    </w:p>
    <w:p w:rsidR="000A5B2F" w:rsidRDefault="000A5B2F" w:rsidP="000A5B2F">
      <w:pPr>
        <w:widowControl w:val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A5B2F" w:rsidRDefault="000A5B2F" w:rsidP="000A5B2F">
      <w:pPr>
        <w:widowControl w:val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0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ВВЕДЕНИЕ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1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1. ТЕОРЕТИЧЕСКИЕ ОСНОВЫ КРЕДИТОВАНИЯ ИНВЕСТИЦИОННЫХ ПРОЕКТОВ КОММЕРЧЕСКИМИ БАНКАМИ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2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1.1 Сущность и формы инвестиционного банковского кредитования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3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1.2 Система кредитования инвестиционных проектов банками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4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1.3  Роль банков развития в кредитовании инвестиционных проектов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5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2 АНАЛИЗ КРЕДИТОВАНИЯ ИНВЕСТИЦИОННЫХ ПРОЕКТОВ НА ПРИМЕРЕ АО «»</w:t>
        </w:r>
      </w:hyperlink>
      <w:r w:rsidR="000A5B2F" w:rsidRPr="000A5B2F">
        <w:rPr>
          <w:rFonts w:asciiTheme="minorHAnsi" w:eastAsiaTheme="minorEastAsia" w:hAnsiTheme="minorHAnsi" w:cstheme="minorBidi"/>
          <w:noProof/>
          <w:sz w:val="28"/>
          <w:szCs w:val="28"/>
        </w:rPr>
        <w:t xml:space="preserve"> </w:t>
      </w:r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6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2.1 Анализ финансово-хозяйственной деятельности АО «»</w:t>
        </w:r>
      </w:hyperlink>
      <w:r w:rsidR="000A5B2F" w:rsidRPr="000A5B2F">
        <w:rPr>
          <w:rFonts w:asciiTheme="minorHAnsi" w:eastAsiaTheme="minorEastAsia" w:hAnsiTheme="minorHAnsi" w:cstheme="minorBidi"/>
          <w:noProof/>
          <w:sz w:val="28"/>
          <w:szCs w:val="28"/>
        </w:rPr>
        <w:t xml:space="preserve"> </w:t>
      </w:r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7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2.2 Организация кредитования инвестиционных проектов банком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8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2.3 Оценка кредитования инвестиционных проектов АО «»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29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3 ПРОБЛЕМЫ И ПЕРСПЕКТИВЫ РАЗВИТИЯ КРЕДИТОВАНИЯ ИНВЕСТИЦИОННЫХ ПРОЕКТОВ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30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3.1 Современные проблемы кредитования инвестиционных проектов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31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3.2 Перспективные направления развития кредитования инвестиционных проектов в Казахстане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32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0A5B2F" w:rsidRPr="000A5B2F" w:rsidRDefault="00D87912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7603733" w:history="1">
        <w:r w:rsidR="000A5B2F" w:rsidRPr="000A5B2F">
          <w:rPr>
            <w:rStyle w:val="a3"/>
            <w:noProof/>
            <w:color w:val="auto"/>
            <w:sz w:val="28"/>
            <w:szCs w:val="28"/>
            <w:u w:val="none"/>
            <w:shd w:val="clear" w:color="auto" w:fill="FFFFFF"/>
          </w:rPr>
          <w:t>СПИСОК ИСПОЛЬЗОВАННОЙ ЛИТЕРАТУРЫ</w:t>
        </w:r>
      </w:hyperlink>
    </w:p>
    <w:p w:rsidR="000A5B2F" w:rsidRDefault="000A5B2F">
      <w:pPr>
        <w:spacing w:after="160" w:line="259" w:lineRule="auto"/>
      </w:pPr>
      <w:r>
        <w:br w:type="page"/>
      </w:r>
    </w:p>
    <w:p w:rsidR="000A5B2F" w:rsidRPr="00526F4F" w:rsidRDefault="000A5B2F" w:rsidP="000A5B2F">
      <w:pPr>
        <w:pStyle w:val="11"/>
        <w:widowControl w:val="0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0A5B2F" w:rsidRPr="005C4C7F" w:rsidRDefault="000A5B2F" w:rsidP="000A5B2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Toc477603732"/>
      <w:r w:rsidRPr="005C4C7F">
        <w:rPr>
          <w:b w:val="0"/>
          <w:sz w:val="28"/>
          <w:szCs w:val="28"/>
        </w:rPr>
        <w:t>ЗАКЛЮЧЕНИЕ</w:t>
      </w:r>
      <w:bookmarkEnd w:id="0"/>
    </w:p>
    <w:p w:rsidR="000A5B2F" w:rsidRPr="009450EB" w:rsidRDefault="000A5B2F" w:rsidP="000A5B2F">
      <w:pPr>
        <w:widowControl w:val="0"/>
        <w:ind w:firstLine="709"/>
        <w:jc w:val="both"/>
        <w:rPr>
          <w:sz w:val="28"/>
          <w:szCs w:val="28"/>
        </w:rPr>
      </w:pPr>
    </w:p>
    <w:p w:rsidR="000A5B2F" w:rsidRPr="009450EB" w:rsidRDefault="000A5B2F" w:rsidP="000A5B2F">
      <w:pPr>
        <w:widowControl w:val="0"/>
        <w:ind w:firstLine="709"/>
        <w:jc w:val="both"/>
        <w:rPr>
          <w:sz w:val="28"/>
          <w:szCs w:val="28"/>
        </w:rPr>
      </w:pPr>
      <w:r w:rsidRPr="009450EB">
        <w:rPr>
          <w:color w:val="000000"/>
          <w:sz w:val="28"/>
          <w:szCs w:val="28"/>
          <w:shd w:val="clear" w:color="auto" w:fill="FFFFFF"/>
        </w:rPr>
        <w:t>Банковское инвестиционное кредитование является самостоятельной группой кредитных отношений, которые играют особенную роль в сфере инвестиций. Сущность банковского инвестиционного кредита раскрывается через его классификационные признаки, особенно четко прослеживаются его характеристики через форму инвестиционного кредита.</w:t>
      </w:r>
    </w:p>
    <w:p w:rsidR="000A5B2F" w:rsidRPr="009450EB" w:rsidRDefault="000A5B2F" w:rsidP="000A5B2F">
      <w:pPr>
        <w:widowControl w:val="0"/>
        <w:ind w:firstLine="709"/>
        <w:jc w:val="both"/>
        <w:rPr>
          <w:sz w:val="28"/>
          <w:szCs w:val="28"/>
        </w:rPr>
      </w:pPr>
      <w:r w:rsidRPr="009450EB">
        <w:rPr>
          <w:color w:val="000000"/>
          <w:sz w:val="28"/>
          <w:szCs w:val="28"/>
          <w:shd w:val="clear" w:color="auto" w:fill="FFFFFF"/>
        </w:rPr>
        <w:t>Формы инвестиционного банковского кредита</w:t>
      </w:r>
    </w:p>
    <w:p w:rsidR="000A5B2F" w:rsidRPr="009450EB" w:rsidRDefault="000A5B2F" w:rsidP="000A5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50EB">
        <w:rPr>
          <w:color w:val="000000"/>
          <w:sz w:val="28"/>
          <w:szCs w:val="28"/>
          <w:shd w:val="clear" w:color="auto" w:fill="FFFFFF"/>
        </w:rPr>
        <w:t xml:space="preserve">1) Кредитование инвестиционных проектов действующих предприятий: переоснащение предприятия, покупка и запуск нового оборудования (линии), приобретение нового бизнеса, расширение, модернизация и техническое перевооружение предприятия и тому подобное. </w:t>
      </w:r>
    </w:p>
    <w:p w:rsidR="000A5B2F" w:rsidRPr="009450EB" w:rsidRDefault="000A5B2F" w:rsidP="000A5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50EB">
        <w:rPr>
          <w:color w:val="000000"/>
          <w:sz w:val="28"/>
          <w:szCs w:val="28"/>
          <w:shd w:val="clear" w:color="auto" w:fill="FFFFFF"/>
        </w:rPr>
        <w:t>2) Кредитование под доход приносящие активы направлено на осуществление капитальных вложений. В эту группу относятся также ипотечные инвестиционные кредиты (приобретение коммерческой недвижимости, земельного участка под бизнес).</w:t>
      </w:r>
    </w:p>
    <w:p w:rsidR="00D87912" w:rsidRDefault="00D87912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0A5B2F" w:rsidRPr="002E6318" w:rsidRDefault="000A5B2F" w:rsidP="000A5B2F">
      <w:pPr>
        <w:widowControl w:val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0A5B2F" w:rsidRPr="005C4C7F" w:rsidRDefault="000A5B2F" w:rsidP="000A5B2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bookmarkStart w:id="1" w:name="_Toc477603733"/>
      <w:r w:rsidRPr="005C4C7F">
        <w:rPr>
          <w:b w:val="0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bookmarkEnd w:id="1"/>
    </w:p>
    <w:p w:rsidR="000A5B2F" w:rsidRDefault="000A5B2F" w:rsidP="000A5B2F">
      <w:pPr>
        <w:widowControl w:val="0"/>
        <w:ind w:firstLine="709"/>
        <w:jc w:val="both"/>
        <w:rPr>
          <w:sz w:val="28"/>
          <w:szCs w:val="28"/>
        </w:rPr>
      </w:pPr>
      <w:bookmarkStart w:id="2" w:name="_GoBack"/>
    </w:p>
    <w:p w:rsidR="000A5B2F" w:rsidRDefault="000A5B2F" w:rsidP="000A5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A2517">
        <w:rPr>
          <w:color w:val="000000"/>
          <w:sz w:val="28"/>
          <w:szCs w:val="28"/>
          <w:shd w:val="clear" w:color="auto" w:fill="FFFFFF"/>
        </w:rPr>
        <w:t xml:space="preserve">Тавасиев A.M., Бычков В.П., Москвин </w:t>
      </w:r>
      <w:proofErr w:type="gramStart"/>
      <w:r w:rsidRPr="007A2517">
        <w:rPr>
          <w:color w:val="000000"/>
          <w:sz w:val="28"/>
          <w:szCs w:val="28"/>
          <w:shd w:val="clear" w:color="auto" w:fill="FFFFFF"/>
        </w:rPr>
        <w:t>В.А..</w:t>
      </w:r>
      <w:proofErr w:type="gramEnd"/>
      <w:r w:rsidRPr="007A2517">
        <w:rPr>
          <w:color w:val="000000"/>
          <w:sz w:val="28"/>
          <w:szCs w:val="28"/>
          <w:shd w:val="clear" w:color="auto" w:fill="FFFFFF"/>
        </w:rPr>
        <w:t xml:space="preserve"> Банковское дело: базовые операции для клиентов: Учеб. пособие </w:t>
      </w:r>
      <w:proofErr w:type="gramStart"/>
      <w:r w:rsidRPr="007A2517">
        <w:rPr>
          <w:color w:val="000000"/>
          <w:sz w:val="28"/>
          <w:szCs w:val="28"/>
          <w:shd w:val="clear" w:color="auto" w:fill="FFFFFF"/>
        </w:rPr>
        <w:t>Под</w:t>
      </w:r>
      <w:proofErr w:type="gramEnd"/>
      <w:r w:rsidRPr="007A2517">
        <w:rPr>
          <w:color w:val="000000"/>
          <w:sz w:val="28"/>
          <w:szCs w:val="28"/>
          <w:shd w:val="clear" w:color="auto" w:fill="FFFFFF"/>
        </w:rPr>
        <w:t xml:space="preserve"> ред. A.M. Тавасиева. -</w:t>
      </w:r>
      <w:r>
        <w:rPr>
          <w:color w:val="000000"/>
          <w:sz w:val="28"/>
          <w:szCs w:val="28"/>
          <w:shd w:val="clear" w:color="auto" w:fill="FFFFFF"/>
        </w:rPr>
        <w:t xml:space="preserve"> М.: НИЦ ИНФРА-М,2015. - 366</w:t>
      </w:r>
      <w:r w:rsidRPr="007A25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</w:p>
    <w:p w:rsidR="000A5B2F" w:rsidRDefault="000A5B2F" w:rsidP="000A5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010B7D">
        <w:rPr>
          <w:color w:val="000000"/>
          <w:sz w:val="28"/>
          <w:szCs w:val="28"/>
          <w:shd w:val="clear" w:color="auto" w:fill="FFFFFF"/>
        </w:rPr>
        <w:t xml:space="preserve">Банковское дело / Под ред. Г. Н. Белоглазовой, Л. П. </w:t>
      </w:r>
      <w:proofErr w:type="spellStart"/>
      <w:r w:rsidRPr="00010B7D">
        <w:rPr>
          <w:color w:val="000000"/>
          <w:sz w:val="28"/>
          <w:szCs w:val="28"/>
          <w:shd w:val="clear" w:color="auto" w:fill="FFFFFF"/>
        </w:rPr>
        <w:t>Кроливецкой</w:t>
      </w:r>
      <w:proofErr w:type="spellEnd"/>
      <w:r w:rsidRPr="00010B7D">
        <w:rPr>
          <w:color w:val="000000"/>
          <w:sz w:val="28"/>
          <w:szCs w:val="28"/>
          <w:shd w:val="clear" w:color="auto" w:fill="FFFFFF"/>
        </w:rPr>
        <w:t>. —</w:t>
      </w:r>
      <w:r>
        <w:rPr>
          <w:color w:val="000000"/>
          <w:sz w:val="28"/>
          <w:szCs w:val="28"/>
          <w:shd w:val="clear" w:color="auto" w:fill="FFFFFF"/>
        </w:rPr>
        <w:t xml:space="preserve"> СПб.: Питер, 2010. — 240 с.</w:t>
      </w:r>
    </w:p>
    <w:p w:rsidR="000A5B2F" w:rsidRDefault="000A5B2F" w:rsidP="000A5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Мазурина Т.Ю. Инвестиционный кредит как долгосрочный банковский продукт: специфические свойства и классификация // «Финансы и кредит», 2013. - № 38(566), С. 17-15</w:t>
      </w:r>
    </w:p>
    <w:p w:rsidR="000A5B2F" w:rsidRDefault="000A5B2F" w:rsidP="000A5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465E45">
        <w:rPr>
          <w:color w:val="000000"/>
          <w:sz w:val="28"/>
          <w:szCs w:val="28"/>
          <w:shd w:val="clear" w:color="auto" w:fill="FFFFFF"/>
        </w:rPr>
        <w:t>Йескомб</w:t>
      </w:r>
      <w:proofErr w:type="spellEnd"/>
      <w:r w:rsidRPr="00465E45">
        <w:rPr>
          <w:color w:val="000000"/>
          <w:sz w:val="28"/>
          <w:szCs w:val="28"/>
          <w:shd w:val="clear" w:color="auto" w:fill="FFFFFF"/>
        </w:rPr>
        <w:t xml:space="preserve"> Э. Р. Принципы проектного финансирования: пер. с англ. И. В. Василевской / под общ. ред. Д. А. Рябых. М.: ООО «Альпина </w:t>
      </w:r>
      <w:proofErr w:type="spellStart"/>
      <w:r w:rsidRPr="00465E45"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Pr="00465E45">
        <w:rPr>
          <w:color w:val="000000"/>
          <w:sz w:val="28"/>
          <w:szCs w:val="28"/>
          <w:shd w:val="clear" w:color="auto" w:fill="FFFFFF"/>
        </w:rPr>
        <w:t>», 2015. – 390 с.</w:t>
      </w:r>
    </w:p>
    <w:p w:rsidR="000A5B2F" w:rsidRDefault="000A5B2F" w:rsidP="000A5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480539">
        <w:rPr>
          <w:color w:val="000000"/>
          <w:sz w:val="28"/>
          <w:szCs w:val="28"/>
          <w:shd w:val="clear" w:color="auto" w:fill="FFFFFF"/>
        </w:rPr>
        <w:t>Дадашева</w:t>
      </w:r>
      <w:proofErr w:type="spellEnd"/>
      <w:r w:rsidRPr="00480539">
        <w:rPr>
          <w:color w:val="000000"/>
          <w:sz w:val="28"/>
          <w:szCs w:val="28"/>
          <w:shd w:val="clear" w:color="auto" w:fill="FFFFFF"/>
        </w:rPr>
        <w:t xml:space="preserve"> О. Ю. Проектное финансирование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80539">
        <w:rPr>
          <w:color w:val="000000"/>
          <w:sz w:val="28"/>
          <w:szCs w:val="28"/>
          <w:shd w:val="clear" w:color="auto" w:fill="FFFFFF"/>
        </w:rPr>
        <w:t xml:space="preserve">и стимулирование </w:t>
      </w:r>
      <w:r>
        <w:rPr>
          <w:color w:val="000000"/>
          <w:sz w:val="28"/>
          <w:szCs w:val="28"/>
          <w:shd w:val="clear" w:color="auto" w:fill="FFFFFF"/>
        </w:rPr>
        <w:t>его развития // Банковские услу</w:t>
      </w:r>
      <w:r w:rsidRPr="00480539">
        <w:rPr>
          <w:color w:val="000000"/>
          <w:sz w:val="28"/>
          <w:szCs w:val="28"/>
          <w:shd w:val="clear" w:color="auto" w:fill="FFFFFF"/>
        </w:rPr>
        <w:t>ги. 2011. № 7.</w:t>
      </w:r>
      <w:r>
        <w:rPr>
          <w:color w:val="000000"/>
          <w:sz w:val="28"/>
          <w:szCs w:val="28"/>
          <w:shd w:val="clear" w:color="auto" w:fill="FFFFFF"/>
        </w:rPr>
        <w:t xml:space="preserve"> С.6-10</w:t>
      </w:r>
    </w:p>
    <w:bookmarkEnd w:id="2"/>
    <w:p w:rsidR="001D4799" w:rsidRDefault="001D4799"/>
    <w:sectPr w:rsidR="001D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CA"/>
    <w:rsid w:val="000A5B2F"/>
    <w:rsid w:val="001D4799"/>
    <w:rsid w:val="005E54CA"/>
    <w:rsid w:val="00D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2308"/>
  <w15:chartTrackingRefBased/>
  <w15:docId w15:val="{F445DCB0-5BC4-49B2-A47D-6E0331E3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5B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2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5B2F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0A5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2017-10-26T07:25:00Z</dcterms:created>
  <dcterms:modified xsi:type="dcterms:W3CDTF">2017-11-09T08:28:00Z</dcterms:modified>
</cp:coreProperties>
</file>