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DD" w:rsidRDefault="009261DD" w:rsidP="009261DD">
      <w:pPr>
        <w:widowControl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x-none" w:eastAsia="x-none"/>
        </w:rPr>
      </w:pPr>
      <w:bookmarkStart w:id="0" w:name="_Toc512589984"/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x-none"/>
        </w:rPr>
        <w:t>Др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x-none"/>
        </w:rPr>
        <w:t>_</w:t>
      </w:r>
      <w:r w:rsidRPr="009261D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x-none" w:eastAsia="x-none"/>
        </w:rPr>
        <w:t>Особенности организации досуга детей младшего школьного возраста с ограниченными возможностями</w:t>
      </w:r>
      <w:bookmarkEnd w:id="0"/>
    </w:p>
    <w:p w:rsidR="009261DD" w:rsidRDefault="009261DD" w:rsidP="009261DD">
      <w:pPr>
        <w:widowControl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x-none"/>
        </w:rPr>
        <w:t>Стр-61</w:t>
      </w:r>
    </w:p>
    <w:p w:rsidR="009261DD" w:rsidRPr="009261DD" w:rsidRDefault="009261DD" w:rsidP="009261D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61DD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</w:t>
      </w:r>
    </w:p>
    <w:p w:rsidR="009261DD" w:rsidRPr="009261DD" w:rsidRDefault="009261DD" w:rsidP="009261DD">
      <w:pPr>
        <w:widowControl w:val="0"/>
        <w:tabs>
          <w:tab w:val="right" w:leader="dot" w:pos="962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261DD" w:rsidRPr="009261DD" w:rsidRDefault="009261DD" w:rsidP="009261DD">
      <w:pPr>
        <w:widowControl w:val="0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261DD">
        <w:rPr>
          <w:rFonts w:ascii="Times New Roman" w:eastAsia="Calibri" w:hAnsi="Times New Roman" w:cs="Times New Roman"/>
          <w:color w:val="000000"/>
          <w:sz w:val="28"/>
          <w:szCs w:val="28"/>
        </w:rPr>
        <w:fldChar w:fldCharType="begin"/>
      </w:r>
      <w:r w:rsidRPr="009261DD">
        <w:rPr>
          <w:rFonts w:ascii="Times New Roman" w:eastAsia="Calibri" w:hAnsi="Times New Roman" w:cs="Times New Roman"/>
          <w:color w:val="000000"/>
          <w:sz w:val="28"/>
          <w:szCs w:val="28"/>
        </w:rPr>
        <w:instrText xml:space="preserve"> TOC \o "1-3" \h \z \u </w:instrText>
      </w:r>
      <w:r w:rsidRPr="009261DD">
        <w:rPr>
          <w:rFonts w:ascii="Times New Roman" w:eastAsia="Calibri" w:hAnsi="Times New Roman" w:cs="Times New Roman"/>
          <w:color w:val="000000"/>
          <w:sz w:val="28"/>
          <w:szCs w:val="28"/>
        </w:rPr>
        <w:fldChar w:fldCharType="separate"/>
      </w:r>
    </w:p>
    <w:p w:rsidR="009261DD" w:rsidRPr="009261DD" w:rsidRDefault="009261DD" w:rsidP="009261DD">
      <w:pPr>
        <w:widowControl w:val="0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hyperlink w:anchor="_Toc512589990" w:history="1">
        <w:r w:rsidRPr="009261DD">
          <w:rPr>
            <w:rFonts w:ascii="Times New Roman" w:eastAsia="Calibri" w:hAnsi="Times New Roman" w:cs="Times New Roman"/>
            <w:noProof/>
            <w:color w:val="000000"/>
            <w:sz w:val="28"/>
            <w:szCs w:val="28"/>
            <w:lang w:eastAsia="ru-RU"/>
          </w:rPr>
          <w:t>Введение</w:t>
        </w:r>
      </w:hyperlink>
    </w:p>
    <w:p w:rsidR="009261DD" w:rsidRPr="009261DD" w:rsidRDefault="009261DD" w:rsidP="009261DD">
      <w:pPr>
        <w:widowControl w:val="0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hyperlink w:anchor="_Toc512589991" w:history="1">
        <w:r w:rsidRPr="009261DD">
          <w:rPr>
            <w:rFonts w:ascii="Times New Roman" w:eastAsia="Calibri" w:hAnsi="Times New Roman" w:cs="Times New Roman"/>
            <w:noProof/>
            <w:color w:val="000000"/>
            <w:sz w:val="28"/>
            <w:szCs w:val="28"/>
          </w:rPr>
          <w:t>1 Теоретические основы организации досуга детей младшего школьного возраста с ограниченными во</w:t>
        </w:r>
        <w:r w:rsidRPr="009261DD">
          <w:rPr>
            <w:rFonts w:ascii="Times New Roman" w:eastAsia="Calibri" w:hAnsi="Times New Roman" w:cs="Times New Roman"/>
            <w:noProof/>
            <w:color w:val="000000"/>
            <w:sz w:val="28"/>
            <w:szCs w:val="28"/>
          </w:rPr>
          <w:t>з</w:t>
        </w:r>
        <w:r w:rsidRPr="009261DD">
          <w:rPr>
            <w:rFonts w:ascii="Times New Roman" w:eastAsia="Calibri" w:hAnsi="Times New Roman" w:cs="Times New Roman"/>
            <w:noProof/>
            <w:color w:val="000000"/>
            <w:sz w:val="28"/>
            <w:szCs w:val="28"/>
          </w:rPr>
          <w:t>можностями</w:t>
        </w:r>
      </w:hyperlink>
    </w:p>
    <w:p w:rsidR="009261DD" w:rsidRPr="009261DD" w:rsidRDefault="009261DD" w:rsidP="009261DD">
      <w:pPr>
        <w:widowControl w:val="0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hyperlink w:anchor="_Toc512589992" w:history="1">
        <w:r w:rsidRPr="009261DD">
          <w:rPr>
            <w:rFonts w:ascii="Times New Roman" w:eastAsia="Calibri" w:hAnsi="Times New Roman" w:cs="Times New Roman"/>
            <w:noProof/>
            <w:color w:val="000000"/>
            <w:sz w:val="28"/>
            <w:szCs w:val="28"/>
          </w:rPr>
          <w:t>1.1 Сущность понятия «досуг» в научной литературе</w:t>
        </w:r>
      </w:hyperlink>
    </w:p>
    <w:p w:rsidR="009261DD" w:rsidRPr="009261DD" w:rsidRDefault="009261DD" w:rsidP="009261DD">
      <w:pPr>
        <w:widowControl w:val="0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hyperlink w:anchor="_Toc512589993" w:history="1">
        <w:r w:rsidRPr="009261DD">
          <w:rPr>
            <w:rFonts w:ascii="Times New Roman" w:eastAsia="Calibri" w:hAnsi="Times New Roman" w:cs="Times New Roman"/>
            <w:noProof/>
            <w:color w:val="000000"/>
            <w:sz w:val="28"/>
            <w:szCs w:val="28"/>
          </w:rPr>
          <w:t>1.2 Формы детского досуга и их типология</w:t>
        </w:r>
      </w:hyperlink>
    </w:p>
    <w:p w:rsidR="009261DD" w:rsidRPr="009261DD" w:rsidRDefault="009261DD" w:rsidP="009261DD">
      <w:pPr>
        <w:widowControl w:val="0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hyperlink w:anchor="_Toc512589994" w:history="1">
        <w:r w:rsidRPr="009261DD">
          <w:rPr>
            <w:rFonts w:ascii="Times New Roman" w:eastAsia="Calibri" w:hAnsi="Times New Roman" w:cs="Times New Roman"/>
            <w:noProof/>
            <w:color w:val="000000"/>
            <w:sz w:val="28"/>
            <w:szCs w:val="28"/>
          </w:rPr>
          <w:t>1.3 Психолого-педагогическая характеристика детей младшего возраста с ограниченными возможностями развития</w:t>
        </w:r>
      </w:hyperlink>
    </w:p>
    <w:p w:rsidR="009261DD" w:rsidRPr="009261DD" w:rsidRDefault="009261DD" w:rsidP="009261DD">
      <w:pPr>
        <w:widowControl w:val="0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hyperlink w:anchor="_Toc512589995" w:history="1">
        <w:r w:rsidRPr="009261DD">
          <w:rPr>
            <w:rFonts w:ascii="Times New Roman" w:eastAsia="Calibri" w:hAnsi="Times New Roman" w:cs="Times New Roman"/>
            <w:noProof/>
            <w:color w:val="000000"/>
            <w:sz w:val="28"/>
            <w:szCs w:val="28"/>
          </w:rPr>
          <w:t>2 Практика организации досуга детей младшего школьного возраста ограниченными возможностями</w:t>
        </w:r>
      </w:hyperlink>
    </w:p>
    <w:p w:rsidR="009261DD" w:rsidRPr="009261DD" w:rsidRDefault="009261DD" w:rsidP="009261DD">
      <w:pPr>
        <w:widowControl w:val="0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hyperlink w:anchor="_Toc512589996" w:history="1">
        <w:r w:rsidRPr="009261DD">
          <w:rPr>
            <w:rFonts w:ascii="Times New Roman" w:eastAsia="Calibri" w:hAnsi="Times New Roman" w:cs="Times New Roman"/>
            <w:noProof/>
            <w:color w:val="000000"/>
            <w:sz w:val="28"/>
            <w:szCs w:val="28"/>
          </w:rPr>
          <w:t xml:space="preserve">2.1 </w:t>
        </w:r>
        <w:r w:rsidRPr="009261DD">
          <w:rPr>
            <w:rFonts w:ascii="Times New Roman" w:eastAsia="Calibri" w:hAnsi="Times New Roman" w:cs="Times New Roman"/>
            <w:noProof/>
            <w:color w:val="000000"/>
            <w:sz w:val="28"/>
            <w:szCs w:val="28"/>
            <w:shd w:val="clear" w:color="auto" w:fill="FFFFFF"/>
          </w:rPr>
          <w:t xml:space="preserve">Особенности организации досуга </w:t>
        </w:r>
        <w:r w:rsidRPr="009261DD">
          <w:rPr>
            <w:rFonts w:ascii="Times New Roman" w:eastAsia="Calibri" w:hAnsi="Times New Roman" w:cs="Times New Roman"/>
            <w:noProof/>
            <w:color w:val="000000"/>
            <w:sz w:val="28"/>
            <w:szCs w:val="28"/>
          </w:rPr>
          <w:t>младших школьников с ограниченными возможностями</w:t>
        </w:r>
      </w:hyperlink>
    </w:p>
    <w:p w:rsidR="009261DD" w:rsidRPr="009261DD" w:rsidRDefault="009261DD" w:rsidP="009261DD">
      <w:pPr>
        <w:widowControl w:val="0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hyperlink w:anchor="_Toc512589997" w:history="1">
        <w:r w:rsidRPr="009261DD">
          <w:rPr>
            <w:rFonts w:ascii="Times New Roman" w:eastAsia="Calibri" w:hAnsi="Times New Roman" w:cs="Times New Roman"/>
            <w:noProof/>
            <w:color w:val="000000"/>
            <w:sz w:val="28"/>
            <w:szCs w:val="28"/>
          </w:rPr>
          <w:t>2.2 Организация и проведение досуга детей младшего школьного возраста с ограниченными возможностями в реабилитационном центре</w:t>
        </w:r>
      </w:hyperlink>
      <w:r w:rsidRPr="009261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</w:t>
      </w:r>
    </w:p>
    <w:p w:rsidR="009261DD" w:rsidRPr="009261DD" w:rsidRDefault="009261DD" w:rsidP="009261DD">
      <w:pPr>
        <w:widowControl w:val="0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hyperlink w:anchor="_Toc512589998" w:history="1">
        <w:r w:rsidRPr="009261DD">
          <w:rPr>
            <w:rFonts w:ascii="Times New Roman" w:eastAsia="Calibri" w:hAnsi="Times New Roman" w:cs="Times New Roman"/>
            <w:noProof/>
            <w:color w:val="000000"/>
            <w:sz w:val="28"/>
            <w:szCs w:val="28"/>
          </w:rPr>
          <w:t>Заключение</w:t>
        </w:r>
      </w:hyperlink>
    </w:p>
    <w:p w:rsidR="009261DD" w:rsidRPr="009261DD" w:rsidRDefault="009261DD" w:rsidP="009261DD">
      <w:pPr>
        <w:widowControl w:val="0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hyperlink w:anchor="_Toc512589999" w:history="1">
        <w:r w:rsidRPr="009261DD">
          <w:rPr>
            <w:rFonts w:ascii="Times New Roman" w:eastAsia="Calibri" w:hAnsi="Times New Roman" w:cs="Times New Roman"/>
            <w:noProof/>
            <w:color w:val="000000"/>
            <w:sz w:val="28"/>
            <w:szCs w:val="28"/>
            <w:shd w:val="clear" w:color="auto" w:fill="FFFFFF"/>
          </w:rPr>
          <w:t>Список использованных источников</w:t>
        </w:r>
      </w:hyperlink>
    </w:p>
    <w:p w:rsidR="009261DD" w:rsidRPr="009261DD" w:rsidRDefault="009261DD" w:rsidP="009261DD">
      <w:pPr>
        <w:widowControl w:val="0"/>
        <w:spacing w:after="0" w:line="240" w:lineRule="auto"/>
        <w:rPr>
          <w:rFonts w:ascii="Calibri" w:eastAsia="Calibri" w:hAnsi="Calibri" w:cs="Times New Roman"/>
          <w:color w:val="000000"/>
        </w:rPr>
      </w:pPr>
      <w:r w:rsidRPr="009261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fldChar w:fldCharType="end"/>
      </w:r>
    </w:p>
    <w:p w:rsidR="009261DD" w:rsidRDefault="009261DD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x-none"/>
        </w:rPr>
        <w:br w:type="page"/>
      </w:r>
    </w:p>
    <w:p w:rsidR="009261DD" w:rsidRPr="009261DD" w:rsidRDefault="009261DD" w:rsidP="009261DD">
      <w:pPr>
        <w:widowControl w:val="0"/>
        <w:spacing w:after="0" w:line="240" w:lineRule="auto"/>
        <w:ind w:firstLine="454"/>
        <w:contextualSpacing/>
        <w:jc w:val="both"/>
        <w:outlineLvl w:val="0"/>
        <w:rPr>
          <w:rFonts w:ascii="Arial" w:eastAsia="Times New Roman" w:hAnsi="Arial" w:cs="Arial"/>
          <w:bCs/>
          <w:color w:val="000000"/>
          <w:kern w:val="28"/>
          <w:sz w:val="21"/>
          <w:szCs w:val="21"/>
          <w:lang w:val="x-none"/>
        </w:rPr>
      </w:pPr>
      <w:r w:rsidRPr="009261DD">
        <w:rPr>
          <w:rFonts w:ascii="Times New Roman" w:eastAsia="Calibri" w:hAnsi="Times New Roman" w:cs="Times New Roman"/>
          <w:bCs/>
          <w:color w:val="000000"/>
          <w:kern w:val="28"/>
          <w:sz w:val="28"/>
          <w:szCs w:val="32"/>
          <w:lang w:val="x-none"/>
        </w:rPr>
        <w:lastRenderedPageBreak/>
        <w:t>Заключение</w:t>
      </w:r>
    </w:p>
    <w:p w:rsidR="009261DD" w:rsidRPr="009261DD" w:rsidRDefault="009261DD" w:rsidP="009261DD">
      <w:pPr>
        <w:widowControl w:val="0"/>
        <w:shd w:val="clear" w:color="auto" w:fill="FFFFFF"/>
        <w:spacing w:after="0" w:line="240" w:lineRule="auto"/>
        <w:ind w:firstLine="454"/>
        <w:contextualSpacing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1DD" w:rsidRPr="009261DD" w:rsidRDefault="009261DD" w:rsidP="009261DD">
      <w:pPr>
        <w:widowControl w:val="0"/>
        <w:shd w:val="clear" w:color="auto" w:fill="FFFFFF"/>
        <w:spacing w:after="0" w:line="240" w:lineRule="auto"/>
        <w:ind w:firstLine="454"/>
        <w:contextualSpacing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1DD" w:rsidRPr="009261DD" w:rsidRDefault="009261DD" w:rsidP="009261D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61DD">
        <w:rPr>
          <w:rFonts w:ascii="Times New Roman" w:eastAsia="Calibri" w:hAnsi="Times New Roman" w:cs="Times New Roman"/>
          <w:color w:val="000000"/>
          <w:sz w:val="28"/>
          <w:szCs w:val="28"/>
        </w:rPr>
        <w:t>Культурно- досуговое мероприятие – важная часть жизни ребенка. Это радостное событие, которое позволяет ребенку отдохнуть, развлечься и вместе с тем духовно обогащает его, побуждает к творчеству. Но праздник для детей – это не только развлекательное мероприятие, но и большая, трудная подготовительная работа, а также естественная ситуация для развития и обучения.</w:t>
      </w:r>
    </w:p>
    <w:p w:rsidR="009261DD" w:rsidRPr="009261DD" w:rsidRDefault="009261DD" w:rsidP="009261D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61DD">
        <w:rPr>
          <w:rFonts w:ascii="Times New Roman" w:eastAsia="Calibri" w:hAnsi="Times New Roman" w:cs="Times New Roman"/>
          <w:color w:val="000000"/>
          <w:sz w:val="28"/>
          <w:szCs w:val="28"/>
        </w:rPr>
        <w:t>Мы выяснили, что праздник, как синтез искусств, включает в себя различные виды деятельности: речевую, музыкальную, изобразительную, и особый вид деятельности – общение. Мы отметили, что хорошо организованные праздники благотворно влияют на развитие психических процессов: памяти, внимания; создают прекрасную ситуацию для развития речи ребенка, для закрепления знаний, полученных на различных занятиях; способствуют его нравственному воспитанию.</w:t>
      </w:r>
    </w:p>
    <w:p w:rsidR="009261DD" w:rsidRDefault="009261DD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x-none"/>
        </w:rPr>
        <w:br w:type="page"/>
      </w:r>
    </w:p>
    <w:p w:rsidR="009261DD" w:rsidRPr="009261DD" w:rsidRDefault="009261DD" w:rsidP="009261D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32"/>
          <w:shd w:val="clear" w:color="auto" w:fill="FFFFFF"/>
          <w:lang w:val="x-none"/>
        </w:rPr>
      </w:pPr>
      <w:r w:rsidRPr="009261DD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32"/>
          <w:shd w:val="clear" w:color="auto" w:fill="FFFFFF"/>
          <w:lang w:val="x-none"/>
        </w:rPr>
        <w:lastRenderedPageBreak/>
        <w:t>Список использованных источников</w:t>
      </w:r>
    </w:p>
    <w:p w:rsidR="009261DD" w:rsidRPr="009261DD" w:rsidRDefault="009261DD" w:rsidP="009261DD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61DD" w:rsidRPr="009261DD" w:rsidRDefault="009261DD" w:rsidP="009261DD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61DD" w:rsidRPr="009261DD" w:rsidRDefault="009261DD" w:rsidP="009261D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</w:pPr>
      <w:r w:rsidRPr="009261DD"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  <w:t>1 Послание Президента Казахстана Н.А. Назарбаева народу Казахстана "Казахстанский путь-2050: Единая цель, единые интересы, единое будущее"</w:t>
      </w:r>
    </w:p>
    <w:p w:rsidR="009261DD" w:rsidRPr="009261DD" w:rsidRDefault="009261DD" w:rsidP="009261D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261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 Закон РК </w:t>
      </w:r>
      <w:r w:rsidRPr="009261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 11 июля 2002 года №343-</w:t>
      </w:r>
      <w:proofErr w:type="gramStart"/>
      <w:r w:rsidRPr="009261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I»О</w:t>
      </w:r>
      <w:proofErr w:type="gramEnd"/>
      <w:r w:rsidRPr="009261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социальной и медик-педагогической коррекционной поддержке детей с ограниченными возможностями».</w:t>
      </w:r>
    </w:p>
    <w:p w:rsidR="009261DD" w:rsidRPr="009261DD" w:rsidRDefault="009261DD" w:rsidP="009261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261D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3 "Конвенция о правах ребенка"(одобрена Генеральной Ассамблеей ООН 20.11.1989) (вступила в силу для СССР 15.09.1990).</w:t>
      </w:r>
    </w:p>
    <w:p w:rsidR="009261DD" w:rsidRPr="009261DD" w:rsidRDefault="009261DD" w:rsidP="009261D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61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 Антонов А.В. Помощи Инвалидам-Жертвам Гулага-М.,2000. </w:t>
      </w:r>
    </w:p>
    <w:p w:rsidR="009261DD" w:rsidRPr="009261DD" w:rsidRDefault="009261DD" w:rsidP="009261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proofErr w:type="spellStart"/>
      <w:r w:rsidRPr="00926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Даринский</w:t>
      </w:r>
      <w:proofErr w:type="spellEnd"/>
      <w:r w:rsidRPr="00926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Просветительская работа клубов. – М.: Советская Россия, 1986. </w:t>
      </w:r>
    </w:p>
    <w:p w:rsidR="009261DD" w:rsidRPr="009261DD" w:rsidRDefault="009261DD" w:rsidP="009261DD">
      <w:pPr>
        <w:widowControl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x-none"/>
        </w:rPr>
      </w:pPr>
      <w:bookmarkStart w:id="1" w:name="_GoBack"/>
      <w:bookmarkEnd w:id="1"/>
    </w:p>
    <w:p w:rsidR="001B7C0B" w:rsidRPr="009261DD" w:rsidRDefault="001B7C0B">
      <w:pPr>
        <w:rPr>
          <w:lang w:val="x-none"/>
        </w:rPr>
      </w:pPr>
    </w:p>
    <w:sectPr w:rsidR="001B7C0B" w:rsidRPr="0092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2A"/>
    <w:rsid w:val="001B7C0B"/>
    <w:rsid w:val="004D022A"/>
    <w:rsid w:val="0092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5E9F"/>
  <w15:chartTrackingRefBased/>
  <w15:docId w15:val="{D6897F0A-D8D4-495E-9FD9-A2B30C42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379</Words>
  <Characters>2163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2018-10-15T10:43:00Z</dcterms:created>
  <dcterms:modified xsi:type="dcterms:W3CDTF">2018-10-15T10:47:00Z</dcterms:modified>
</cp:coreProperties>
</file>