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6" w:rsidRDefault="00010D66" w:rsidP="00010D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010D66">
        <w:rPr>
          <w:rFonts w:ascii="Times New Roman" w:hAnsi="Times New Roman" w:cs="Times New Roman"/>
          <w:sz w:val="28"/>
        </w:rPr>
        <w:t xml:space="preserve">Особенности учета и аудита НДС на примере ТОО </w:t>
      </w:r>
    </w:p>
    <w:p w:rsidR="00010D66" w:rsidRDefault="00010D66" w:rsidP="00010D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Стр-69</w:t>
      </w:r>
    </w:p>
    <w:p w:rsidR="00010D66" w:rsidRPr="00010D66" w:rsidRDefault="00010D66" w:rsidP="00010D6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010D66" w:rsidRPr="00147407" w:rsidRDefault="00010D66" w:rsidP="00010D6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r w:rsidRPr="00147407">
        <w:rPr>
          <w:rFonts w:ascii="Times New Roman" w:hAnsi="Times New Roman" w:cs="Times New Roman"/>
          <w:sz w:val="28"/>
        </w:rPr>
        <w:fldChar w:fldCharType="begin"/>
      </w:r>
      <w:r w:rsidRPr="00147407">
        <w:rPr>
          <w:rFonts w:ascii="Times New Roman" w:hAnsi="Times New Roman" w:cs="Times New Roman"/>
          <w:sz w:val="28"/>
        </w:rPr>
        <w:instrText xml:space="preserve"> TOC \o "1-3" \h \z \u </w:instrText>
      </w:r>
      <w:r w:rsidRPr="00147407">
        <w:rPr>
          <w:rFonts w:ascii="Times New Roman" w:hAnsi="Times New Roman" w:cs="Times New Roman"/>
          <w:sz w:val="28"/>
        </w:rPr>
        <w:fldChar w:fldCharType="separate"/>
      </w:r>
      <w:hyperlink w:anchor="_Toc479430004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Введение</w:t>
        </w:r>
      </w:hyperlink>
    </w:p>
    <w:p w:rsidR="00010D66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Style w:val="a3"/>
          <w:rFonts w:ascii="Times New Roman" w:hAnsi="Times New Roman" w:cs="Times New Roman"/>
          <w:noProof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hyperlink w:anchor="_Toc479430005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1 Теоретические аспекты функционирования налога на добавленную стоимость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06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1.1 Сущность и особенности налога на добавленную стоимость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07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1.2 Механизм функционирования НДС в системе косвенных налогов Республики Казахстан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08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1.3 Цели и задачи учета и аудита НДС на предприятиях Республики Казахстан</w:t>
        </w:r>
      </w:hyperlink>
    </w:p>
    <w:p w:rsidR="00010D66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Style w:val="a3"/>
          <w:rFonts w:ascii="Times New Roman" w:hAnsi="Times New Roman" w:cs="Times New Roman"/>
          <w:noProof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hyperlink w:anchor="_Toc479430009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 xml:space="preserve">2  Учет НДС как одного </w:t>
        </w:r>
        <w:r>
          <w:rPr>
            <w:rStyle w:val="a3"/>
            <w:rFonts w:ascii="Times New Roman" w:hAnsi="Times New Roman" w:cs="Times New Roman"/>
            <w:noProof/>
            <w:sz w:val="28"/>
          </w:rPr>
          <w:t xml:space="preserve">из видов налога на примере ТОО </w:t>
        </w:r>
      </w:hyperlink>
      <w:r w:rsidRPr="00147407">
        <w:rPr>
          <w:rFonts w:ascii="Times New Roman" w:hAnsi="Times New Roman" w:cs="Times New Roman"/>
          <w:noProof/>
          <w:sz w:val="28"/>
        </w:rPr>
        <w:t xml:space="preserve"> </w:t>
      </w:r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0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2.1 Характеристика деятельности организации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1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 xml:space="preserve">2.2 Анализ расчетов по НДС в ТОО 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2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2.3 Особенности учета и документального оформления НДС в ТОО</w:t>
        </w:r>
      </w:hyperlink>
    </w:p>
    <w:p w:rsidR="00010D66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Style w:val="a3"/>
          <w:rFonts w:ascii="Times New Roman" w:hAnsi="Times New Roman" w:cs="Times New Roman"/>
          <w:noProof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hyperlink w:anchor="_Toc479430013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 xml:space="preserve">3 Аудиторская проверка НДС в ТОО 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4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 xml:space="preserve">3.1 Методика проведения аудита налога на добавленную стоимость в ТОО 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5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3.2 Составление плана и программы аудиторской проверки НДС</w:t>
        </w:r>
      </w:hyperlink>
    </w:p>
    <w:p w:rsidR="00010D66" w:rsidRPr="00147407" w:rsidRDefault="00010D66" w:rsidP="00010D66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hAnsi="Times New Roman" w:cs="Times New Roman"/>
          <w:noProof/>
          <w:sz w:val="28"/>
        </w:rPr>
      </w:pPr>
      <w:hyperlink w:anchor="_Toc479430016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3.3 Проведение аудиторской проверки, составление аудиторского заключения</w:t>
        </w:r>
      </w:hyperlink>
    </w:p>
    <w:p w:rsidR="00010D66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Style w:val="a3"/>
          <w:rFonts w:ascii="Times New Roman" w:hAnsi="Times New Roman" w:cs="Times New Roman"/>
          <w:noProof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hyperlink w:anchor="_Toc479430017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Заключение</w:t>
        </w:r>
      </w:hyperlink>
    </w:p>
    <w:p w:rsidR="00010D66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Style w:val="a3"/>
          <w:rFonts w:ascii="Times New Roman" w:hAnsi="Times New Roman" w:cs="Times New Roman"/>
          <w:noProof/>
          <w:sz w:val="28"/>
        </w:rPr>
      </w:pPr>
    </w:p>
    <w:p w:rsidR="00010D66" w:rsidRPr="00147407" w:rsidRDefault="00010D66" w:rsidP="00010D66">
      <w:pPr>
        <w:pStyle w:val="11"/>
        <w:tabs>
          <w:tab w:val="right" w:leader="dot" w:pos="9628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</w:rPr>
      </w:pPr>
      <w:hyperlink w:anchor="_Toc479430018" w:history="1">
        <w:r w:rsidRPr="00147407">
          <w:rPr>
            <w:rStyle w:val="a3"/>
            <w:rFonts w:ascii="Times New Roman" w:hAnsi="Times New Roman" w:cs="Times New Roman"/>
            <w:noProof/>
            <w:sz w:val="28"/>
          </w:rPr>
          <w:t>Список использованной литературы</w:t>
        </w:r>
      </w:hyperlink>
    </w:p>
    <w:p w:rsidR="00010D66" w:rsidRDefault="00010D66" w:rsidP="00010D66">
      <w:pPr>
        <w:rPr>
          <w:rFonts w:ascii="Times New Roman" w:hAnsi="Times New Roman" w:cs="Times New Roman"/>
          <w:sz w:val="28"/>
        </w:rPr>
      </w:pPr>
      <w:r w:rsidRPr="00147407">
        <w:rPr>
          <w:rFonts w:ascii="Times New Roman" w:hAnsi="Times New Roman" w:cs="Times New Roman"/>
          <w:sz w:val="28"/>
        </w:rPr>
        <w:fldChar w:fldCharType="end"/>
      </w:r>
    </w:p>
    <w:p w:rsidR="00010D66" w:rsidRDefault="00010D66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0D66" w:rsidRPr="00147F6B" w:rsidRDefault="00010D66" w:rsidP="00010D6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79430017"/>
      <w:r w:rsidRPr="00147F6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010D66" w:rsidRPr="00147F6B" w:rsidRDefault="00010D66" w:rsidP="00010D6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010D66" w:rsidRPr="00147F6B" w:rsidRDefault="00010D66" w:rsidP="00010D6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47F6B">
        <w:rPr>
          <w:rFonts w:ascii="Times New Roman" w:hAnsi="Times New Roman" w:cs="Times New Roman"/>
          <w:sz w:val="28"/>
        </w:rPr>
        <w:t>По результатам дипломного исследования составлены следующие выводы теоретического и практического характера:</w:t>
      </w:r>
    </w:p>
    <w:p w:rsidR="00010D66" w:rsidRPr="00147F6B" w:rsidRDefault="00010D66" w:rsidP="00010D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147F6B">
        <w:rPr>
          <w:rFonts w:ascii="Times New Roman" w:hAnsi="Times New Roman" w:cs="Times New Roman"/>
          <w:sz w:val="28"/>
          <w:szCs w:val="28"/>
        </w:rPr>
        <w:t>НДС – это вид налоговой выплаты в казну, представляющей собой процент от стоимости налогооблагаемой выручки по сбыту товаров/услуг/работ (объектов сбора), прибавленную в ходе оборотного процесса указанных объектов и их производства, а также плату при ввозе (импорте) продукции в государственные пределы;</w:t>
      </w:r>
    </w:p>
    <w:p w:rsidR="00010D66" w:rsidRPr="00147F6B" w:rsidRDefault="00010D66" w:rsidP="00010D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 xml:space="preserve">2) </w:t>
      </w:r>
      <w:r w:rsidRPr="00147F6B">
        <w:rPr>
          <w:rFonts w:ascii="Times New Roman" w:hAnsi="Times New Roman" w:cs="Times New Roman"/>
          <w:sz w:val="28"/>
        </w:rPr>
        <w:t>Механизм его функционирования исключает налогообложение материальных затрат, в связи с чем НДС теоретически не воздействует на общие и предельные издержки производства, а также дает возможность возврат налогоплательщику вернуть сумму НДС, уплаченную при обеспечении нужд производства, так, что, в конечном счете, данный налог выплачивает покупатель, приобретающий товар для нужд собственного потребления, а не для производства. Следовательно, НДС не воздействует на производство, однако, на практике, различие ставок и условий налогообложения, включает НДС в состав действенных механизмов налогового регулирования не только спроса, но и предложения.</w:t>
      </w:r>
    </w:p>
    <w:p w:rsidR="00010D66" w:rsidRDefault="00010D66" w:rsidP="00010D66"/>
    <w:p w:rsidR="00010D66" w:rsidRDefault="00010D66" w:rsidP="00010D66"/>
    <w:p w:rsidR="00010D66" w:rsidRDefault="00010D66" w:rsidP="00010D66">
      <w:pPr>
        <w:tabs>
          <w:tab w:val="left" w:pos="5310"/>
        </w:tabs>
      </w:pPr>
      <w:r>
        <w:tab/>
      </w:r>
    </w:p>
    <w:p w:rsidR="00010D66" w:rsidRDefault="00010D66">
      <w:pPr>
        <w:spacing w:after="160" w:line="259" w:lineRule="auto"/>
      </w:pPr>
      <w:r>
        <w:br w:type="page"/>
      </w:r>
    </w:p>
    <w:p w:rsidR="00010D66" w:rsidRPr="00147F6B" w:rsidRDefault="00010D66" w:rsidP="00010D6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79430018"/>
      <w:r w:rsidRPr="00147F6B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010D66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D66" w:rsidRPr="00147F6B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 xml:space="preserve">1 Тимофеева О. Ф. Налоги в рыночной экономике. — М., </w:t>
      </w:r>
      <w:proofErr w:type="gramStart"/>
      <w:r w:rsidRPr="00147F6B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147F6B">
        <w:rPr>
          <w:rFonts w:ascii="Times New Roman" w:hAnsi="Times New Roman" w:cs="Times New Roman"/>
          <w:sz w:val="28"/>
          <w:szCs w:val="28"/>
        </w:rPr>
        <w:t xml:space="preserve"> 92 с.;</w:t>
      </w:r>
    </w:p>
    <w:p w:rsidR="00010D66" w:rsidRPr="00147F6B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47F6B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Pr="00147F6B">
        <w:rPr>
          <w:rFonts w:ascii="Times New Roman" w:hAnsi="Times New Roman" w:cs="Times New Roman"/>
          <w:sz w:val="28"/>
          <w:szCs w:val="28"/>
        </w:rPr>
        <w:t xml:space="preserve"> Н. В. Теория и история налогообложения. Издательство: </w:t>
      </w:r>
      <w:proofErr w:type="spellStart"/>
      <w:r w:rsidRPr="00147F6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47F6B">
        <w:rPr>
          <w:rFonts w:ascii="Times New Roman" w:hAnsi="Times New Roman" w:cs="Times New Roman"/>
          <w:sz w:val="28"/>
          <w:szCs w:val="28"/>
        </w:rPr>
        <w:t>, 2013. - ЗЗ6 с.;</w:t>
      </w:r>
    </w:p>
    <w:p w:rsidR="00010D66" w:rsidRPr="00147F6B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47F6B">
        <w:rPr>
          <w:rFonts w:ascii="Times New Roman" w:hAnsi="Times New Roman" w:cs="Times New Roman"/>
          <w:sz w:val="28"/>
          <w:szCs w:val="28"/>
        </w:rPr>
        <w:t>Паскачев</w:t>
      </w:r>
      <w:proofErr w:type="spellEnd"/>
      <w:r w:rsidRPr="00147F6B">
        <w:rPr>
          <w:rFonts w:ascii="Times New Roman" w:hAnsi="Times New Roman" w:cs="Times New Roman"/>
          <w:sz w:val="28"/>
          <w:szCs w:val="28"/>
        </w:rPr>
        <w:t xml:space="preserve"> А.Б. Налоги и налогообложение. Учебное </w:t>
      </w:r>
      <w:proofErr w:type="gramStart"/>
      <w:r w:rsidRPr="00147F6B">
        <w:rPr>
          <w:rFonts w:ascii="Times New Roman" w:hAnsi="Times New Roman" w:cs="Times New Roman"/>
          <w:sz w:val="28"/>
          <w:szCs w:val="28"/>
        </w:rPr>
        <w:t>пособие .</w:t>
      </w:r>
      <w:proofErr w:type="gramEnd"/>
      <w:r w:rsidRPr="00147F6B">
        <w:rPr>
          <w:rFonts w:ascii="Times New Roman" w:hAnsi="Times New Roman" w:cs="Times New Roman"/>
          <w:sz w:val="28"/>
          <w:szCs w:val="28"/>
        </w:rPr>
        <w:t xml:space="preserve"> М.: Высшее образование. -  384 с. ISBN 9785969202238;</w:t>
      </w:r>
    </w:p>
    <w:p w:rsidR="00010D66" w:rsidRPr="00147F6B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>4 Маслов Б.Г. Налоговые системы зарубежных стран. Учебно-методическое пособие. Гриф УМО МО РФ. Издательство: Дело и сервис (</w:t>
      </w:r>
      <w:proofErr w:type="spellStart"/>
      <w:r w:rsidRPr="00147F6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47F6B">
        <w:rPr>
          <w:rFonts w:ascii="Times New Roman" w:hAnsi="Times New Roman" w:cs="Times New Roman"/>
          <w:sz w:val="28"/>
          <w:szCs w:val="28"/>
        </w:rPr>
        <w:t>). 2011- 432 с.;</w:t>
      </w:r>
    </w:p>
    <w:p w:rsidR="00010D66" w:rsidRPr="00147F6B" w:rsidRDefault="00010D66" w:rsidP="0001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6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47F6B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147F6B">
        <w:rPr>
          <w:rFonts w:ascii="Times New Roman" w:hAnsi="Times New Roman" w:cs="Times New Roman"/>
          <w:sz w:val="28"/>
          <w:szCs w:val="28"/>
        </w:rPr>
        <w:t xml:space="preserve"> А. Налоги и налогообложение. Учебное пособие. – Астана: Фолиант. 2010. – 448 с.;</w:t>
      </w:r>
    </w:p>
    <w:p w:rsidR="00AD339C" w:rsidRPr="00010D66" w:rsidRDefault="00AD339C" w:rsidP="00010D66">
      <w:pPr>
        <w:tabs>
          <w:tab w:val="left" w:pos="5310"/>
        </w:tabs>
      </w:pPr>
      <w:bookmarkStart w:id="2" w:name="_GoBack"/>
      <w:bookmarkEnd w:id="2"/>
    </w:p>
    <w:sectPr w:rsidR="00AD339C" w:rsidRPr="0001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4F"/>
    <w:rsid w:val="00010D66"/>
    <w:rsid w:val="0018304F"/>
    <w:rsid w:val="00A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3AA"/>
  <w15:chartTrackingRefBased/>
  <w15:docId w15:val="{6313A879-F40B-4F5E-B093-7FC4A89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0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10D6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10D66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010D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2017-11-07T04:24:00Z</dcterms:created>
  <dcterms:modified xsi:type="dcterms:W3CDTF">2017-11-07T04:28:00Z</dcterms:modified>
</cp:coreProperties>
</file>