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30" w:rsidRDefault="001C6230" w:rsidP="001C6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C6230">
        <w:rPr>
          <w:rFonts w:ascii="Times New Roman" w:hAnsi="Times New Roman"/>
          <w:sz w:val="28"/>
          <w:szCs w:val="28"/>
        </w:rPr>
        <w:t>Др_</w:t>
      </w:r>
      <w:r w:rsidRPr="001C6230">
        <w:rPr>
          <w:rFonts w:ascii="Times New Roman" w:hAnsi="Times New Roman"/>
          <w:sz w:val="28"/>
          <w:szCs w:val="28"/>
        </w:rPr>
        <w:t>ПОЛОВАЯ</w:t>
      </w:r>
      <w:proofErr w:type="spellEnd"/>
      <w:r w:rsidRPr="001C6230">
        <w:rPr>
          <w:rFonts w:ascii="Times New Roman" w:hAnsi="Times New Roman"/>
          <w:sz w:val="28"/>
          <w:szCs w:val="28"/>
        </w:rPr>
        <w:t xml:space="preserve"> НЕПРИКОСНОВЕННОСТЬ В КОНТЕКСТЕ УГОЛОВНОГО ПРАВА: КАЗАХСТАНСКИЙ И МЕЖДУНАРОДНЫЙ ОПЫТ</w:t>
      </w:r>
    </w:p>
    <w:p w:rsidR="001C6230" w:rsidRDefault="001C6230" w:rsidP="001C6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Стр_64</w:t>
      </w:r>
    </w:p>
    <w:tbl>
      <w:tblPr>
        <w:tblW w:w="89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2"/>
      </w:tblGrid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1C6230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Введение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1 Теоретические аспекты половой неприкосновенности</w:t>
            </w:r>
          </w:p>
        </w:tc>
      </w:tr>
      <w:tr w:rsidR="001C6230" w:rsidRPr="001C6230" w:rsidTr="001C6230">
        <w:trPr>
          <w:trHeight w:val="337"/>
        </w:trPr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 xml:space="preserve">1.1 </w:t>
            </w:r>
            <w:bookmarkStart w:id="0" w:name="_Hlk181692891"/>
            <w:r w:rsidRPr="001C6230">
              <w:rPr>
                <w:rFonts w:ascii="Times New Roman" w:eastAsia="Calibri" w:hAnsi="Times New Roman"/>
                <w:sz w:val="28"/>
                <w:szCs w:val="28"/>
              </w:rPr>
              <w:t>Понятие и виды половой неприкосновенности</w:t>
            </w:r>
            <w:bookmarkEnd w:id="0"/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1.2 Историческое развитие понятия половой неприкосновенности</w:t>
            </w:r>
            <w:r w:rsidRPr="001C62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1C6230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1.3 Значение половой неприкосно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венности в современном обществе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2 Половая непр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икосновенность в уголовном праве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2.1 Уголовная ответственность за преступления против половой неприкосновенности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 Казахстане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1C6230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2.2 Уголовная ответственность в зарубежных странах за</w:t>
            </w:r>
            <w:r w:rsidRPr="001C6230">
              <w:rPr>
                <w:rFonts w:ascii="Times New Roman" w:eastAsia="Calibri" w:hAnsi="Times New Roman"/>
                <w:sz w:val="28"/>
                <w:szCs w:val="28"/>
              </w:rPr>
              <w:br/>
              <w:t>преступления против половой неприкосновенности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spacing w:after="0" w:line="240" w:lineRule="auto"/>
              <w:ind w:firstLine="709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2.3 Практика</w:t>
            </w:r>
            <w:r w:rsidRPr="001C623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применения уголовного законодательства в Казахстане 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зарубежных странах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3 Проблемы и пути совершенствования законодательства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3.1 Анализ недостатков существующей нормативно-правовой базы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3.2 Рекомендации по улучшению защиты половой неприкосновенности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Заключение</w:t>
            </w: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6230" w:rsidRPr="001C6230" w:rsidTr="001C6230">
        <w:tc>
          <w:tcPr>
            <w:tcW w:w="8932" w:type="dxa"/>
            <w:shd w:val="clear" w:color="auto" w:fill="auto"/>
          </w:tcPr>
          <w:p w:rsidR="001C6230" w:rsidRPr="001C6230" w:rsidRDefault="001C6230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C6230">
              <w:rPr>
                <w:rFonts w:ascii="Times New Roman" w:eastAsia="Calibri" w:hAnsi="Times New Roman"/>
                <w:sz w:val="28"/>
                <w:szCs w:val="28"/>
              </w:rPr>
              <w:t>Список использованной литературы</w:t>
            </w:r>
          </w:p>
        </w:tc>
      </w:tr>
    </w:tbl>
    <w:p w:rsidR="001C6230" w:rsidRPr="001C6230" w:rsidRDefault="001C6230" w:rsidP="001C62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B5B" w:rsidRDefault="00933B5B"/>
    <w:p w:rsidR="001C6230" w:rsidRDefault="001C6230"/>
    <w:p w:rsidR="001C6230" w:rsidRDefault="001C6230"/>
    <w:p w:rsidR="001C6230" w:rsidRDefault="001C6230"/>
    <w:p w:rsidR="001C6230" w:rsidRDefault="001C6230"/>
    <w:p w:rsidR="001C6230" w:rsidRDefault="001C6230"/>
    <w:p w:rsidR="001C6230" w:rsidRDefault="001C6230"/>
    <w:p w:rsidR="001C6230" w:rsidRDefault="001C6230"/>
    <w:p w:rsidR="001C6230" w:rsidRDefault="001C6230"/>
    <w:p w:rsidR="001C6230" w:rsidRDefault="001C6230"/>
    <w:p w:rsidR="001C6230" w:rsidRDefault="001C6230"/>
    <w:p w:rsidR="001C6230" w:rsidRDefault="001C6230" w:rsidP="001C623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Pr="00C834FF" w:rsidRDefault="001C6230" w:rsidP="001C623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  <w:r w:rsidRPr="00C834FF">
        <w:rPr>
          <w:rFonts w:ascii="Times New Roman" w:eastAsiaTheme="majorEastAsia" w:hAnsi="Times New Roman"/>
          <w:b/>
          <w:bCs/>
          <w:sz w:val="28"/>
          <w:szCs w:val="28"/>
        </w:rPr>
        <w:t>Заключение</w:t>
      </w:r>
    </w:p>
    <w:p w:rsidR="001C6230" w:rsidRPr="00C834FF" w:rsidRDefault="001C6230" w:rsidP="001C62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230" w:rsidRPr="00C834FF" w:rsidRDefault="001C6230" w:rsidP="001C62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>В соответствии с проведенным исследованием были сделаны следующие выводы:</w:t>
      </w:r>
    </w:p>
    <w:p w:rsidR="001C6230" w:rsidRPr="00C834FF" w:rsidRDefault="001C6230" w:rsidP="001C623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 xml:space="preserve">Проведенный анализ теоретических основ и эволюции понятия половой неприкосновенности позволяет утверждать, что данный правовой институт представляет собой сложное явление, охватывающее как физические, так и </w:t>
      </w:r>
      <w:proofErr w:type="gramStart"/>
      <w:r w:rsidRPr="00C834FF">
        <w:rPr>
          <w:rFonts w:ascii="Times New Roman" w:hAnsi="Times New Roman"/>
          <w:sz w:val="28"/>
          <w:szCs w:val="28"/>
        </w:rPr>
        <w:t>нравственно-этические аспекты защиты личности от сексуального насилия</w:t>
      </w:r>
      <w:proofErr w:type="gramEnd"/>
      <w:r w:rsidRPr="00C834FF">
        <w:rPr>
          <w:rFonts w:ascii="Times New Roman" w:hAnsi="Times New Roman"/>
          <w:sz w:val="28"/>
          <w:szCs w:val="28"/>
        </w:rPr>
        <w:t xml:space="preserve"> и эксплуатации. Его связь с фундаментальными правами человека — свободой, достоинством и личной автономией — подчеркивает исключительную значимость в системе уголовно-правовых и гуманитарных норм.</w:t>
      </w:r>
    </w:p>
    <w:p w:rsidR="001C6230" w:rsidRPr="00C834FF" w:rsidRDefault="001C6230" w:rsidP="001C623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 xml:space="preserve">Историческое развитие института половой неприкосновенности демонстрирует трансформацию взглядов от доминирования патриархальных установок, ориентированных на защиту чести семьи и имущественных интересов, к современному подходу, основанному на принципах индивидуальной свободы и личной неприкосновенности. Это отражает общую тенденцию </w:t>
      </w:r>
      <w:proofErr w:type="spellStart"/>
      <w:r w:rsidRPr="00C834FF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C834FF">
        <w:rPr>
          <w:rFonts w:ascii="Times New Roman" w:hAnsi="Times New Roman"/>
          <w:sz w:val="28"/>
          <w:szCs w:val="28"/>
        </w:rPr>
        <w:t xml:space="preserve"> уголовного права и усиления защиты прав уязвимых групп, прежде всего несовершеннолетних и лиц, находящихся в состоянии беспомощности.</w:t>
      </w: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1" w:name="_GoBack"/>
      <w:bookmarkEnd w:id="1"/>
    </w:p>
    <w:p w:rsidR="001C6230" w:rsidRDefault="001C6230" w:rsidP="001C623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Default="001C6230" w:rsidP="001C623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C6230" w:rsidRPr="00C834FF" w:rsidRDefault="001C6230" w:rsidP="001C623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  <w:r w:rsidRPr="00C834FF">
        <w:rPr>
          <w:rFonts w:ascii="Times New Roman" w:eastAsiaTheme="majorEastAsia" w:hAnsi="Times New Roman"/>
          <w:b/>
          <w:bCs/>
          <w:sz w:val="28"/>
          <w:szCs w:val="28"/>
        </w:rPr>
        <w:t>Список использованной литературы</w:t>
      </w:r>
    </w:p>
    <w:p w:rsidR="001C6230" w:rsidRPr="00C834FF" w:rsidRDefault="001C6230" w:rsidP="001C62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230" w:rsidRPr="00C834FF" w:rsidRDefault="001C6230" w:rsidP="001C62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 xml:space="preserve">МВД заявило о снижении количества преступлений против половой неприкосновенности // </w:t>
      </w:r>
      <w:hyperlink r:id="rId5" w:history="1">
        <w:r w:rsidRPr="00C834FF">
          <w:rPr>
            <w:rStyle w:val="a4"/>
            <w:rFonts w:ascii="Times New Roman" w:hAnsi="Times New Roman"/>
            <w:color w:val="auto"/>
            <w:sz w:val="28"/>
            <w:szCs w:val="28"/>
          </w:rPr>
          <w:t>https://vlast.kz/kz/novosti/64232-mvd-zaavilo-o-snizenii-kolicestva-prestuplenij-protiv-polovoj-neprikosnovennosti.html</w:t>
        </w:r>
      </w:hyperlink>
      <w:r w:rsidRPr="00C834FF">
        <w:rPr>
          <w:rFonts w:ascii="Times New Roman" w:hAnsi="Times New Roman"/>
          <w:sz w:val="28"/>
          <w:szCs w:val="28"/>
        </w:rPr>
        <w:t xml:space="preserve"> (по состоянию на 2025 г.).</w:t>
      </w:r>
    </w:p>
    <w:p w:rsidR="001C6230" w:rsidRPr="00C834FF" w:rsidRDefault="001C6230" w:rsidP="001C62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 xml:space="preserve">Подростковая рождаемость снижается, но уровень знаний о контрацепции остаётся низким — Минздрав // </w:t>
      </w:r>
      <w:hyperlink r:id="rId6" w:history="1">
        <w:r w:rsidRPr="00C834FF">
          <w:rPr>
            <w:rStyle w:val="a4"/>
            <w:rFonts w:ascii="Times New Roman" w:hAnsi="Times New Roman"/>
            <w:color w:val="auto"/>
            <w:sz w:val="28"/>
            <w:szCs w:val="28"/>
          </w:rPr>
          <w:t>https://cmn.kz/podrostkovaya-rozhdaemost-snizhaetsya-no-uroven-znanij-o-kontraczepczii-ostayotsya-nizkim-minzdrav/</w:t>
        </w:r>
      </w:hyperlink>
      <w:r w:rsidRPr="00C834FF">
        <w:rPr>
          <w:rFonts w:ascii="Times New Roman" w:hAnsi="Times New Roman"/>
          <w:sz w:val="28"/>
          <w:szCs w:val="28"/>
        </w:rPr>
        <w:t xml:space="preserve"> (по состоянию на 2025 г.). (по состоянию на 12.03.2025 г.).</w:t>
      </w:r>
    </w:p>
    <w:p w:rsidR="001C6230" w:rsidRPr="00C834FF" w:rsidRDefault="001C6230" w:rsidP="001C62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 xml:space="preserve">Ранняя беременность в Казахстане: почему 80% молодежи не используют контрацепцию // </w:t>
      </w:r>
      <w:hyperlink r:id="rId7" w:history="1">
        <w:r w:rsidRPr="00C834FF">
          <w:rPr>
            <w:rStyle w:val="a4"/>
            <w:rFonts w:ascii="Times New Roman" w:hAnsi="Times New Roman"/>
            <w:color w:val="auto"/>
            <w:sz w:val="28"/>
            <w:szCs w:val="28"/>
          </w:rPr>
          <w:t>https://liter.kz/ranniaia-beremennost-v-kazakhstane-pochemu-80-molodezh-ne-ispolzuiut-kontratseptsiiu-1737951884/</w:t>
        </w:r>
      </w:hyperlink>
      <w:r w:rsidRPr="00C834FF">
        <w:rPr>
          <w:rFonts w:ascii="Times New Roman" w:hAnsi="Times New Roman"/>
          <w:sz w:val="28"/>
          <w:szCs w:val="28"/>
        </w:rPr>
        <w:t xml:space="preserve"> (по состоянию на 2025 г.).</w:t>
      </w:r>
    </w:p>
    <w:p w:rsidR="001C6230" w:rsidRPr="00C834FF" w:rsidRDefault="001C6230" w:rsidP="001C62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 xml:space="preserve">Как в Казахстане будут работать центры </w:t>
      </w:r>
      <w:proofErr w:type="spellStart"/>
      <w:r w:rsidRPr="00C834FF">
        <w:rPr>
          <w:rFonts w:ascii="Times New Roman" w:hAnsi="Times New Roman"/>
          <w:sz w:val="28"/>
          <w:szCs w:val="28"/>
        </w:rPr>
        <w:t>поддержкки</w:t>
      </w:r>
      <w:proofErr w:type="spellEnd"/>
      <w:r w:rsidRPr="00C834FF">
        <w:rPr>
          <w:rFonts w:ascii="Times New Roman" w:hAnsi="Times New Roman"/>
          <w:sz w:val="28"/>
          <w:szCs w:val="28"/>
        </w:rPr>
        <w:t xml:space="preserve"> семьи // </w:t>
      </w:r>
      <w:hyperlink r:id="rId8" w:history="1">
        <w:r w:rsidRPr="00C834FF">
          <w:rPr>
            <w:rStyle w:val="a4"/>
            <w:rFonts w:ascii="Times New Roman" w:hAnsi="Times New Roman"/>
            <w:color w:val="auto"/>
            <w:sz w:val="28"/>
            <w:szCs w:val="28"/>
          </w:rPr>
          <w:t>https://www.zakon.kz/pravo/6434013-kak-v-kazakhstane-budut-rabotat-tsentry-podderzhkki-semi.html</w:t>
        </w:r>
      </w:hyperlink>
      <w:r w:rsidRPr="00C834FF">
        <w:rPr>
          <w:rFonts w:ascii="Times New Roman" w:hAnsi="Times New Roman"/>
          <w:sz w:val="28"/>
          <w:szCs w:val="28"/>
        </w:rPr>
        <w:t xml:space="preserve"> (по состоянию на 2024 г.).</w:t>
      </w:r>
    </w:p>
    <w:p w:rsidR="001C6230" w:rsidRPr="00C834FF" w:rsidRDefault="001C6230" w:rsidP="001C623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34FF">
        <w:rPr>
          <w:rFonts w:ascii="Times New Roman" w:hAnsi="Times New Roman"/>
          <w:sz w:val="28"/>
          <w:szCs w:val="28"/>
        </w:rPr>
        <w:t xml:space="preserve">Конвенция о правах ребенка. Принята резолюцией 44/25 Генеральной Ассамблеи от 20 ноября 1989 года // </w:t>
      </w:r>
      <w:hyperlink r:id="rId9" w:history="1">
        <w:r w:rsidRPr="00C834FF">
          <w:rPr>
            <w:rFonts w:ascii="Times New Roman" w:hAnsi="Times New Roman"/>
            <w:sz w:val="28"/>
            <w:szCs w:val="28"/>
          </w:rPr>
          <w:t>https://www.un.org/ru/documents/decl_conv/conventions/childcon.shtml</w:t>
        </w:r>
      </w:hyperlink>
      <w:r w:rsidRPr="00C834FF">
        <w:rPr>
          <w:rFonts w:ascii="Times New Roman" w:hAnsi="Times New Roman"/>
          <w:sz w:val="28"/>
          <w:szCs w:val="28"/>
        </w:rPr>
        <w:t xml:space="preserve"> (по состоянию на 2025 г.).</w:t>
      </w:r>
    </w:p>
    <w:p w:rsidR="001C6230" w:rsidRDefault="001C6230"/>
    <w:sectPr w:rsidR="001C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9E2"/>
    <w:multiLevelType w:val="hybridMultilevel"/>
    <w:tmpl w:val="B5724536"/>
    <w:lvl w:ilvl="0" w:tplc="CDC6A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511D"/>
    <w:multiLevelType w:val="hybridMultilevel"/>
    <w:tmpl w:val="C92AD182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EC"/>
    <w:rsid w:val="001C6230"/>
    <w:rsid w:val="00933B5B"/>
    <w:rsid w:val="00D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6130"/>
  <w15:chartTrackingRefBased/>
  <w15:docId w15:val="{4E0CAE96-2902-48C4-8F04-463EBB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6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/pravo/6434013-kak-v-kazakhstane-budut-rabotat-tsentry-podderzhkki-sem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ter.kz/ranniaia-beremennost-v-kazakhstane-pochemu-80-molodezh-ne-ispolzuiut-kontratseptsiiu-17379518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n.kz/podrostkovaya-rozhdaemost-snizhaetsya-no-uroven-znanij-o-kontraczepczii-ostayotsya-nizkim-minzdra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last.kz/kz/novosti/64232-mvd-zaavilo-o-snizenii-kolicestva-prestuplenij-protiv-polovoj-neprikosnovennost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.org/ru/documents/decl_conv/conventions/childcon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2025-12-13T07:03:00Z</dcterms:created>
  <dcterms:modified xsi:type="dcterms:W3CDTF">2025-12-13T07:06:00Z</dcterms:modified>
</cp:coreProperties>
</file>