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D3" w:rsidRDefault="002452F5" w:rsidP="00245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2F5">
        <w:rPr>
          <w:rFonts w:ascii="Times New Roman" w:hAnsi="Times New Roman" w:cs="Times New Roman"/>
          <w:sz w:val="28"/>
          <w:szCs w:val="28"/>
        </w:rPr>
        <w:t>Др_Применение принципа contraproferentem для толкования международных договоров</w:t>
      </w:r>
    </w:p>
    <w:p w:rsidR="002452F5" w:rsidRDefault="002452F5" w:rsidP="00245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Стр_47</w:t>
      </w:r>
    </w:p>
    <w:p w:rsidR="002452F5" w:rsidRPr="00EE76BB" w:rsidRDefault="002452F5" w:rsidP="002452F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fldChar w:fldCharType="begin"/>
      </w:r>
      <w:r w:rsidRPr="00EE76B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E76BB">
        <w:rPr>
          <w:rFonts w:ascii="Times New Roman" w:hAnsi="Times New Roman"/>
          <w:sz w:val="28"/>
          <w:szCs w:val="28"/>
        </w:rPr>
        <w:fldChar w:fldCharType="separate"/>
      </w:r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06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</w:hyperlink>
    </w:p>
    <w:p w:rsidR="002452F5" w:rsidRPr="00EE76BB" w:rsidRDefault="002452F5" w:rsidP="002452F5">
      <w:pPr>
        <w:pStyle w:val="11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07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1Понятие и особенности толкования международных договоров</w:t>
        </w:r>
      </w:hyperlink>
    </w:p>
    <w:p w:rsidR="002452F5" w:rsidRPr="00EE76BB" w:rsidRDefault="002452F5" w:rsidP="002452F5">
      <w:pPr>
        <w:pStyle w:val="11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08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1.1Теоретико-правовое содержание процесса толкования нормативных актов</w:t>
        </w:r>
      </w:hyperlink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09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1.2 Доктрины толкования норм международного права и принципы толкования международных договоров</w:t>
        </w:r>
      </w:hyperlink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0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1.3 Нормативное закрепление правил толкования в международном праве</w:t>
        </w:r>
      </w:hyperlink>
    </w:p>
    <w:p w:rsidR="002452F5" w:rsidRPr="00EE76BB" w:rsidRDefault="002452F5" w:rsidP="002452F5">
      <w:pPr>
        <w:pStyle w:val="11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1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2</w:t>
        </w:r>
        <w:r w:rsidRPr="00EE76BB">
          <w:rPr>
            <w:rFonts w:ascii="Times New Roman" w:hAnsi="Times New Roman"/>
            <w:noProof/>
            <w:sz w:val="28"/>
            <w:szCs w:val="28"/>
          </w:rPr>
          <w:tab/>
        </w:r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Сущность и место принципа contra proferentem в казахстанском и зарубежном праве</w:t>
        </w:r>
      </w:hyperlink>
    </w:p>
    <w:p w:rsidR="002452F5" w:rsidRPr="00EE76BB" w:rsidRDefault="002452F5" w:rsidP="002452F5">
      <w:pPr>
        <w:pStyle w:val="11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2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2.1</w:t>
        </w:r>
        <w:r w:rsidRPr="00EE76BB">
          <w:rPr>
            <w:rFonts w:ascii="Times New Roman" w:hAnsi="Times New Roman"/>
            <w:noProof/>
            <w:sz w:val="28"/>
            <w:szCs w:val="28"/>
          </w:rPr>
          <w:tab/>
        </w:r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Contra proferentem как метод толкования договора</w:t>
        </w:r>
      </w:hyperlink>
    </w:p>
    <w:p w:rsidR="002452F5" w:rsidRPr="00EE76BB" w:rsidRDefault="002452F5" w:rsidP="002452F5">
      <w:pPr>
        <w:pStyle w:val="11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3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2.2</w:t>
        </w:r>
        <w:r w:rsidRPr="00EE76BB">
          <w:rPr>
            <w:rFonts w:ascii="Times New Roman" w:hAnsi="Times New Roman"/>
            <w:noProof/>
            <w:sz w:val="28"/>
            <w:szCs w:val="28"/>
          </w:rPr>
          <w:tab/>
        </w:r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Иные методы толкования по модели «contra» как возможные альтернативы толкованию contra proferentem</w:t>
        </w:r>
      </w:hyperlink>
    </w:p>
    <w:p w:rsidR="002452F5" w:rsidRPr="00EE76BB" w:rsidRDefault="002452F5" w:rsidP="002452F5">
      <w:pPr>
        <w:pStyle w:val="11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4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2.3</w:t>
        </w:r>
        <w:r w:rsidRPr="00EE76BB">
          <w:rPr>
            <w:rFonts w:ascii="Times New Roman" w:hAnsi="Times New Roman"/>
            <w:noProof/>
            <w:sz w:val="28"/>
            <w:szCs w:val="28"/>
          </w:rPr>
          <w:tab/>
        </w:r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Место толкования договора contra рroferentem в казахстанском и зарубежном праве</w:t>
        </w:r>
      </w:hyperlink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5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3 Использование принципа contra proferentem для толкования международных договоров</w:t>
        </w:r>
      </w:hyperlink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6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3.1 Правило contra proferentem в Принципах международных коммерческих договоров УНИДРУА 2010</w:t>
        </w:r>
      </w:hyperlink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7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3.2 Применение принципа contra proferentem в отношении потребительских договоров Директивы ЕС 1993 года «О несправедливых условиях потребительских договоров»</w:t>
        </w:r>
      </w:hyperlink>
      <w:r w:rsidRPr="00EE76B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8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3.3 Принцип contra proferentem применительно к условиям договора, заключенного под доминирующим влиянием одной из сторон общей системы координат европейского частного права (DCFR)</w:t>
        </w:r>
      </w:hyperlink>
      <w:r w:rsidRPr="00EE76B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452F5" w:rsidRPr="00EE76BB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19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</w:hyperlink>
    </w:p>
    <w:p w:rsidR="002452F5" w:rsidRDefault="002452F5" w:rsidP="002452F5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25592120" w:history="1">
        <w:r w:rsidRPr="00EE76BB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Список источников</w:t>
        </w:r>
      </w:hyperlink>
    </w:p>
    <w:p w:rsidR="002452F5" w:rsidRDefault="002452F5">
      <w:r>
        <w:br w:type="page"/>
      </w:r>
    </w:p>
    <w:p w:rsidR="002452F5" w:rsidRPr="00EE76BB" w:rsidRDefault="002452F5" w:rsidP="002452F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76BB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</w:p>
    <w:p w:rsidR="002452F5" w:rsidRPr="00EE76BB" w:rsidRDefault="002452F5" w:rsidP="002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2F5" w:rsidRPr="00EE76BB" w:rsidRDefault="002452F5" w:rsidP="0024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t>Изученный субъективный и объективный подходы в содержании западного права функционируют в различной форме: норме закона, выводов судебной практики, доктринальных положений. Важным значением является то, что данные подходы дополняют специальные правила, которые оказывают помощь суду в применении их на практике. Договор по международному праву - это соглашение, заключенное суверенными государствами и международными организациями. Договоры сравнимы с договорами в том смысле, что и те, и другие являются средством добровольного принятия сторонами обязательств друг перед другом.  Как в договорах, так и в контрактах любая из сторон, не выполняющая свои обязательства, может быть привлечена к ответственности по международному праву.  Основной принцип договорного права - это выражается в принципе договоры должны соблюдаться.</w:t>
      </w:r>
    </w:p>
    <w:p w:rsidR="002452F5" w:rsidRDefault="002452F5">
      <w:r>
        <w:br w:type="page"/>
      </w:r>
    </w:p>
    <w:p w:rsidR="002452F5" w:rsidRPr="00EE76BB" w:rsidRDefault="002452F5" w:rsidP="002452F5">
      <w:pPr>
        <w:rPr>
          <w:rFonts w:ascii="Times New Roman" w:eastAsia="Times New Roman" w:hAnsi="Times New Roman"/>
          <w:sz w:val="28"/>
          <w:szCs w:val="28"/>
        </w:rPr>
      </w:pPr>
    </w:p>
    <w:p w:rsidR="002452F5" w:rsidRPr="00EE76BB" w:rsidRDefault="002452F5" w:rsidP="002452F5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76BB">
        <w:rPr>
          <w:rFonts w:ascii="Times New Roman" w:hAnsi="Times New Roman"/>
          <w:color w:val="auto"/>
          <w:sz w:val="28"/>
          <w:szCs w:val="28"/>
        </w:rPr>
        <w:t>Список источников</w:t>
      </w:r>
    </w:p>
    <w:p w:rsidR="002452F5" w:rsidRPr="00EE76BB" w:rsidRDefault="002452F5" w:rsidP="0024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52F5" w:rsidRPr="002452F5" w:rsidRDefault="002452F5" w:rsidP="002452F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t>Карапетов</w:t>
      </w:r>
      <w:r w:rsidRPr="002452F5">
        <w:rPr>
          <w:rFonts w:ascii="Times New Roman" w:hAnsi="Times New Roman"/>
          <w:sz w:val="28"/>
          <w:szCs w:val="28"/>
        </w:rPr>
        <w:t xml:space="preserve"> </w:t>
      </w:r>
      <w:r w:rsidRPr="00EE76BB">
        <w:rPr>
          <w:rFonts w:ascii="Times New Roman" w:hAnsi="Times New Roman"/>
          <w:sz w:val="28"/>
          <w:szCs w:val="28"/>
        </w:rPr>
        <w:t>А</w:t>
      </w:r>
      <w:r w:rsidRPr="002452F5">
        <w:rPr>
          <w:rFonts w:ascii="Times New Roman" w:hAnsi="Times New Roman"/>
          <w:sz w:val="28"/>
          <w:szCs w:val="28"/>
        </w:rPr>
        <w:t>.</w:t>
      </w:r>
      <w:r w:rsidRPr="00EE76BB">
        <w:rPr>
          <w:rFonts w:ascii="Times New Roman" w:hAnsi="Times New Roman"/>
          <w:sz w:val="28"/>
          <w:szCs w:val="28"/>
        </w:rPr>
        <w:t>Г</w:t>
      </w:r>
      <w:r w:rsidRPr="002452F5">
        <w:rPr>
          <w:rFonts w:ascii="Times New Roman" w:hAnsi="Times New Roman"/>
          <w:sz w:val="28"/>
          <w:szCs w:val="28"/>
        </w:rPr>
        <w:t xml:space="preserve">. </w:t>
      </w:r>
      <w:r w:rsidRPr="00EE76BB">
        <w:rPr>
          <w:rFonts w:ascii="Times New Roman" w:hAnsi="Times New Roman"/>
          <w:sz w:val="28"/>
          <w:szCs w:val="28"/>
          <w:lang w:val="en-US"/>
        </w:rPr>
        <w:t>ContraProferentem</w:t>
      </w:r>
      <w:r w:rsidRPr="002452F5">
        <w:rPr>
          <w:rFonts w:ascii="Times New Roman" w:hAnsi="Times New Roman"/>
          <w:sz w:val="28"/>
          <w:szCs w:val="28"/>
        </w:rPr>
        <w:t xml:space="preserve"> </w:t>
      </w:r>
      <w:r w:rsidRPr="00EE76BB">
        <w:rPr>
          <w:rFonts w:ascii="Times New Roman" w:hAnsi="Times New Roman"/>
          <w:sz w:val="28"/>
          <w:szCs w:val="28"/>
        </w:rPr>
        <w:t>как</w:t>
      </w:r>
      <w:r w:rsidRPr="002452F5">
        <w:rPr>
          <w:rFonts w:ascii="Times New Roman" w:hAnsi="Times New Roman"/>
          <w:sz w:val="28"/>
          <w:szCs w:val="28"/>
        </w:rPr>
        <w:t xml:space="preserve"> </w:t>
      </w:r>
      <w:r w:rsidRPr="00EE76BB">
        <w:rPr>
          <w:rFonts w:ascii="Times New Roman" w:hAnsi="Times New Roman"/>
          <w:sz w:val="28"/>
          <w:szCs w:val="28"/>
        </w:rPr>
        <w:t>метод</w:t>
      </w:r>
      <w:r w:rsidRPr="002452F5">
        <w:rPr>
          <w:rFonts w:ascii="Times New Roman" w:hAnsi="Times New Roman"/>
          <w:sz w:val="28"/>
          <w:szCs w:val="28"/>
        </w:rPr>
        <w:t xml:space="preserve"> </w:t>
      </w:r>
      <w:r w:rsidRPr="00EE76BB">
        <w:rPr>
          <w:rFonts w:ascii="Times New Roman" w:hAnsi="Times New Roman"/>
          <w:sz w:val="28"/>
          <w:szCs w:val="28"/>
        </w:rPr>
        <w:t>толкования</w:t>
      </w:r>
      <w:r w:rsidRPr="002452F5">
        <w:rPr>
          <w:rFonts w:ascii="Times New Roman" w:hAnsi="Times New Roman"/>
          <w:sz w:val="28"/>
          <w:szCs w:val="28"/>
        </w:rPr>
        <w:t xml:space="preserve"> </w:t>
      </w:r>
      <w:r w:rsidRPr="00EE76BB">
        <w:rPr>
          <w:rFonts w:ascii="Times New Roman" w:hAnsi="Times New Roman"/>
          <w:sz w:val="28"/>
          <w:szCs w:val="28"/>
        </w:rPr>
        <w:t>договора</w:t>
      </w:r>
      <w:r w:rsidRPr="002452F5">
        <w:rPr>
          <w:rFonts w:ascii="Times New Roman" w:hAnsi="Times New Roman"/>
          <w:sz w:val="28"/>
          <w:szCs w:val="28"/>
        </w:rPr>
        <w:t xml:space="preserve"> // </w:t>
      </w:r>
      <w:hyperlink r:id="rId7" w:history="1"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file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:///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C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:/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Users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/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sudop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/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Desktop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/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работа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%202019%20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год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_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часть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вторая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/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диплом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_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межд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_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договора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_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CONTRA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_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МО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/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статья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по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contra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proferentem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%20(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обновленная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по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состоянию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</w:t>
        </w:r>
        <w:r w:rsidRPr="00EE76BB">
          <w:rPr>
            <w:rFonts w:ascii="Times New Roman" w:hAnsi="Times New Roman"/>
            <w:sz w:val="28"/>
            <w:szCs w:val="28"/>
            <w:u w:val="single"/>
          </w:rPr>
          <w:t>на</w:t>
        </w:r>
        <w:r w:rsidRPr="002452F5">
          <w:rPr>
            <w:rFonts w:ascii="Times New Roman" w:hAnsi="Times New Roman"/>
            <w:sz w:val="28"/>
            <w:szCs w:val="28"/>
            <w:u w:val="single"/>
          </w:rPr>
          <w:t>%2020.06.13)%20(1).</w:t>
        </w:r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pdf</w:t>
        </w:r>
      </w:hyperlink>
      <w:r w:rsidRPr="00EE76BB">
        <w:rPr>
          <w:lang w:val="x-none"/>
        </w:rPr>
        <w:t xml:space="preserve"> </w:t>
      </w:r>
      <w:r w:rsidRPr="002452F5">
        <w:rPr>
          <w:rFonts w:ascii="Times New Roman" w:hAnsi="Times New Roman"/>
          <w:sz w:val="28"/>
          <w:szCs w:val="28"/>
          <w:u w:val="single"/>
        </w:rPr>
        <w:t>Дата обращения: 01.02.2020.</w:t>
      </w:r>
    </w:p>
    <w:p w:rsidR="002452F5" w:rsidRPr="00EE76BB" w:rsidRDefault="002452F5" w:rsidP="002452F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E76BB">
        <w:rPr>
          <w:rFonts w:ascii="Times New Roman" w:hAnsi="Times New Roman"/>
          <w:sz w:val="28"/>
          <w:szCs w:val="28"/>
          <w:lang w:val="en-US"/>
        </w:rPr>
        <w:t xml:space="preserve">Cserne P. Policy considerations in contract interpretation: the contra proferentem rule from a comparative law and economics perspective // Munelytanulmányok. Workingpapers. 2007. № 5. P. 8 // </w:t>
      </w:r>
      <w:hyperlink r:id="rId8" w:history="1">
        <w:r w:rsidRPr="00EE76BB">
          <w:rPr>
            <w:rFonts w:ascii="Times New Roman" w:hAnsi="Times New Roman"/>
            <w:sz w:val="28"/>
            <w:szCs w:val="28"/>
            <w:u w:val="single"/>
            <w:lang w:val="en-US"/>
          </w:rPr>
          <w:t>www.ssrn.org</w:t>
        </w:r>
      </w:hyperlink>
      <w:r w:rsidRPr="00EE76BB">
        <w:rPr>
          <w:rFonts w:ascii="Times New Roman" w:hAnsi="Times New Roman"/>
          <w:sz w:val="28"/>
          <w:szCs w:val="28"/>
          <w:lang w:val="en-US"/>
        </w:rPr>
        <w:t>.</w:t>
      </w:r>
      <w:r w:rsidRPr="00EE76BB">
        <w:rPr>
          <w:lang w:val="x-none"/>
        </w:rPr>
        <w:t xml:space="preserve"> </w:t>
      </w:r>
      <w:r w:rsidRPr="00EE76BB">
        <w:rPr>
          <w:rFonts w:ascii="Times New Roman" w:hAnsi="Times New Roman"/>
          <w:sz w:val="28"/>
          <w:szCs w:val="28"/>
          <w:lang w:val="en-US"/>
        </w:rPr>
        <w:t xml:space="preserve">Дата обращения: </w:t>
      </w:r>
      <w:r w:rsidRPr="00EE76BB">
        <w:rPr>
          <w:rFonts w:ascii="Times New Roman" w:hAnsi="Times New Roman"/>
          <w:sz w:val="28"/>
          <w:szCs w:val="28"/>
        </w:rPr>
        <w:t>10</w:t>
      </w:r>
      <w:r w:rsidRPr="00EE76BB">
        <w:rPr>
          <w:rFonts w:ascii="Times New Roman" w:hAnsi="Times New Roman"/>
          <w:sz w:val="28"/>
          <w:szCs w:val="28"/>
          <w:lang w:val="en-US"/>
        </w:rPr>
        <w:t>.02.2020.</w:t>
      </w:r>
    </w:p>
    <w:p w:rsidR="002452F5" w:rsidRPr="00EE76BB" w:rsidRDefault="002452F5" w:rsidP="002452F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t>Леушин В.И. Юридическая практика в системе общественных отношений. Красноярск, 1987. – 250 с.</w:t>
      </w:r>
    </w:p>
    <w:p w:rsidR="002452F5" w:rsidRPr="00EE76BB" w:rsidRDefault="002452F5" w:rsidP="002452F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t>Теория государства и права: учебник / отв.ред. В.Д. Перевалов. 3-е изд., переработ. и доп. - М.: Норма, 2008. – 247 с.</w:t>
      </w:r>
    </w:p>
    <w:p w:rsidR="002452F5" w:rsidRPr="00EE76BB" w:rsidRDefault="002452F5" w:rsidP="002452F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76BB">
        <w:rPr>
          <w:rFonts w:ascii="Times New Roman" w:hAnsi="Times New Roman"/>
          <w:sz w:val="28"/>
          <w:szCs w:val="28"/>
        </w:rPr>
        <w:t>Черданцев А.Ф. Толкование права и договора. Учебное пособие. — М.: Юнити-Дана, 2003. — 381 с.</w:t>
      </w:r>
    </w:p>
    <w:p w:rsidR="002452F5" w:rsidRPr="002452F5" w:rsidRDefault="002452F5" w:rsidP="002452F5">
      <w:bookmarkStart w:id="0" w:name="_GoBack"/>
      <w:bookmarkEnd w:id="0"/>
    </w:p>
    <w:p w:rsidR="002452F5" w:rsidRPr="002452F5" w:rsidRDefault="002452F5" w:rsidP="002452F5">
      <w:pPr>
        <w:rPr>
          <w:rFonts w:ascii="Times New Roman" w:hAnsi="Times New Roman" w:cs="Times New Roman"/>
          <w:sz w:val="28"/>
          <w:szCs w:val="28"/>
        </w:rPr>
      </w:pPr>
      <w:r w:rsidRPr="00EE76BB">
        <w:rPr>
          <w:rFonts w:ascii="Times New Roman" w:hAnsi="Times New Roman"/>
          <w:b/>
          <w:bCs/>
          <w:sz w:val="28"/>
          <w:szCs w:val="28"/>
        </w:rPr>
        <w:fldChar w:fldCharType="end"/>
      </w:r>
    </w:p>
    <w:sectPr w:rsidR="002452F5" w:rsidRPr="0024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5" w:rsidRDefault="00A734F5" w:rsidP="002452F5">
      <w:pPr>
        <w:spacing w:after="0" w:line="240" w:lineRule="auto"/>
      </w:pPr>
      <w:r>
        <w:separator/>
      </w:r>
    </w:p>
  </w:endnote>
  <w:endnote w:type="continuationSeparator" w:id="0">
    <w:p w:rsidR="00A734F5" w:rsidRDefault="00A734F5" w:rsidP="002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5" w:rsidRDefault="00A734F5" w:rsidP="002452F5">
      <w:pPr>
        <w:spacing w:after="0" w:line="240" w:lineRule="auto"/>
      </w:pPr>
      <w:r>
        <w:separator/>
      </w:r>
    </w:p>
  </w:footnote>
  <w:footnote w:type="continuationSeparator" w:id="0">
    <w:p w:rsidR="00A734F5" w:rsidRDefault="00A734F5" w:rsidP="0024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679C"/>
    <w:multiLevelType w:val="hybridMultilevel"/>
    <w:tmpl w:val="39FE31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B"/>
    <w:rsid w:val="002452F5"/>
    <w:rsid w:val="00A273D3"/>
    <w:rsid w:val="00A734F5"/>
    <w:rsid w:val="00A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826"/>
  <w15:chartTrackingRefBased/>
  <w15:docId w15:val="{19EB4FA7-80BE-4A50-8754-9C0D839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2F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F5"/>
  </w:style>
  <w:style w:type="paragraph" w:styleId="a5">
    <w:name w:val="footer"/>
    <w:basedOn w:val="a"/>
    <w:link w:val="a6"/>
    <w:uiPriority w:val="99"/>
    <w:unhideWhenUsed/>
    <w:rsid w:val="0024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F5"/>
  </w:style>
  <w:style w:type="character" w:styleId="a7">
    <w:name w:val="Hyperlink"/>
    <w:uiPriority w:val="99"/>
    <w:unhideWhenUsed/>
    <w:rsid w:val="002452F5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452F5"/>
    <w:pPr>
      <w:spacing w:after="10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2F5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ppData\sudop\Desktop\&#1088;&#1072;&#1073;&#1086;&#1090;&#1072;%202019%20&#1075;&#1086;&#1076;_&#1095;&#1072;&#1089;&#1090;&#1100;%20&#1074;&#1090;&#1086;&#1088;&#1072;&#1103;\&#1076;&#1080;&#1087;&#1083;&#1086;&#1084;_&#1084;&#1077;&#1078;&#1076;_&#1076;&#1086;&#1075;&#1086;&#1074;&#1086;&#1088;&#1072;_CONTRA_&#1052;&#1054;\&#1089;&#1090;&#1072;&#1090;&#1100;&#1103;%20&#1087;&#1086;%20contra%20proferentem%20(&#1086;&#1073;&#1085;&#1086;&#1074;&#1083;&#1077;&#1085;&#1085;&#1072;&#1103;%20&#1087;&#1086;%20&#1089;&#1086;&#1089;&#1090;&#1086;&#1103;&#1085;&#1080;&#1102;%20&#1085;&#1072;%2020.06.13)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2020-12-08T08:38:00Z</dcterms:created>
  <dcterms:modified xsi:type="dcterms:W3CDTF">2020-12-08T08:43:00Z</dcterms:modified>
</cp:coreProperties>
</file>