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4B" w:rsidRDefault="0040134B" w:rsidP="0040134B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Др_</w:t>
      </w:r>
      <w:r>
        <w:rPr>
          <w:rFonts w:ascii="Times New Roman" w:hAnsi="Times New Roman" w:cs="Times New Roman"/>
          <w:bCs/>
          <w:sz w:val="28"/>
          <w:szCs w:val="28"/>
        </w:rPr>
        <w:t>Социально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-педагогическое сопровождение подростков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поведением</w:t>
      </w:r>
      <w:r w:rsidRPr="00D136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134B" w:rsidRDefault="0040134B" w:rsidP="0040134B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Стр-55</w:t>
      </w:r>
    </w:p>
    <w:p w:rsidR="0040134B" w:rsidRDefault="0040134B" w:rsidP="0040134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</w:p>
    <w:p w:rsidR="0040134B" w:rsidRPr="00753956" w:rsidRDefault="0040134B" w:rsidP="004013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HAnsi" w:hAnsiTheme="minorHAnsi" w:cstheme="minorBidi"/>
          <w:bCs w:val="0"/>
          <w:caps w:val="0"/>
          <w:sz w:val="22"/>
          <w:szCs w:val="22"/>
        </w:rPr>
        <w:id w:val="-311091816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40134B" w:rsidRPr="00631C0E" w:rsidRDefault="0040134B" w:rsidP="0040134B">
          <w:pPr>
            <w:pStyle w:val="a5"/>
            <w:ind w:right="567" w:firstLine="0"/>
            <w:jc w:val="left"/>
            <w:rPr>
              <w:rFonts w:cs="Times New Roman"/>
            </w:rPr>
          </w:pPr>
        </w:p>
        <w:p w:rsidR="0040134B" w:rsidRPr="00631C0E" w:rsidRDefault="0040134B" w:rsidP="0040134B">
          <w:pPr>
            <w:pStyle w:val="11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r w:rsidRPr="00631C0E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Pr="00631C0E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631C0E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514062299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  <w:shd w:val="clear" w:color="auto" w:fill="FFFFFF"/>
              </w:rPr>
              <w:t>Введение</w:t>
            </w:r>
          </w:hyperlink>
        </w:p>
        <w:p w:rsidR="0040134B" w:rsidRPr="00631C0E" w:rsidRDefault="0040134B" w:rsidP="0040134B">
          <w:pPr>
            <w:pStyle w:val="11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514062300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 ТЕОРЕТИЧЕСКИЕ ОСНОВЫ ПСИХОЛОГО-ПЕДАГОГИЧЕСКОГО СОПРОВОЖДЕНИЯ ПОДРОСТКОВ С ДЕВИАНТНЫМ ПОВЕДЕНИЕМ</w:t>
            </w:r>
          </w:hyperlink>
        </w:p>
        <w:p w:rsidR="0040134B" w:rsidRPr="00631C0E" w:rsidRDefault="0040134B" w:rsidP="0040134B">
          <w:pPr>
            <w:pStyle w:val="2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062301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  <w:bdr w:val="none" w:sz="0" w:space="0" w:color="auto" w:frame="1"/>
                <w:shd w:val="clear" w:color="auto" w:fill="FFFFFF"/>
              </w:rPr>
              <w:t>1.1 Понятие и сущность девиантного поведения</w:t>
            </w:r>
          </w:hyperlink>
        </w:p>
        <w:p w:rsidR="0040134B" w:rsidRPr="00631C0E" w:rsidRDefault="0040134B" w:rsidP="0040134B">
          <w:pPr>
            <w:pStyle w:val="2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062302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1.2 Социально-психологические особенности подростков с девиантным поведением</w:t>
            </w:r>
          </w:hyperlink>
        </w:p>
        <w:p w:rsidR="0040134B" w:rsidRPr="00631C0E" w:rsidRDefault="0040134B" w:rsidP="0040134B">
          <w:pPr>
            <w:pStyle w:val="2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062303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1.3 Основные причины девиантного поведения в подростковом возрасте</w:t>
            </w:r>
          </w:hyperlink>
        </w:p>
        <w:p w:rsidR="0040134B" w:rsidRPr="00631C0E" w:rsidRDefault="0040134B" w:rsidP="0040134B">
          <w:pPr>
            <w:pStyle w:val="11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514062304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  <w:shd w:val="clear" w:color="auto" w:fill="FFFFFF"/>
              </w:rPr>
              <w:t>2</w:t>
            </w:r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Pr="00631C0E">
              <w:rPr>
                <w:rStyle w:val="a4"/>
                <w:rFonts w:ascii="Times New Roman" w:eastAsia="Calibri" w:hAnsi="Times New Roman" w:cs="Times New Roman"/>
                <w:b w:val="0"/>
                <w:noProof/>
                <w:sz w:val="28"/>
                <w:szCs w:val="28"/>
              </w:rPr>
              <w:t>ЭКСПЕРИМЕНТАЛЬНАЯ РАБОТА СОЦИАЛЬНПЕДАГОГИЧЕСКОГО СОПРОВОЖДЕНИЯ ПОДРОСТКОВ С ДЕВИАНТНЫМ ПОВЕДЕНИЕМ</w:t>
            </w:r>
          </w:hyperlink>
        </w:p>
        <w:p w:rsidR="0040134B" w:rsidRPr="00631C0E" w:rsidRDefault="0040134B" w:rsidP="0040134B">
          <w:pPr>
            <w:pStyle w:val="2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062305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  <w:shd w:val="clear" w:color="auto" w:fill="FFFFFF"/>
              </w:rPr>
              <w:t>2.1 Методы и формы профилактической работы с девиантными подростками</w:t>
            </w:r>
          </w:hyperlink>
        </w:p>
        <w:p w:rsidR="0040134B" w:rsidRPr="00631C0E" w:rsidRDefault="0040134B" w:rsidP="0040134B">
          <w:pPr>
            <w:pStyle w:val="2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062306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2.2 </w:t>
            </w:r>
            <w:r w:rsidRPr="00631C0E">
              <w:rPr>
                <w:rStyle w:val="a4"/>
                <w:rFonts w:ascii="Times New Roman" w:eastAsia="Calibri" w:hAnsi="Times New Roman" w:cs="Times New Roman"/>
                <w:b w:val="0"/>
                <w:noProof/>
                <w:sz w:val="28"/>
                <w:szCs w:val="28"/>
              </w:rPr>
              <w:t>Реализация программы социально-педагогического сопровождения подростков с девиантным поведением</w:t>
            </w:r>
          </w:hyperlink>
        </w:p>
        <w:p w:rsidR="0040134B" w:rsidRPr="00631C0E" w:rsidRDefault="0040134B" w:rsidP="0040134B">
          <w:pPr>
            <w:pStyle w:val="2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14062307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2.3 Результаты опытно-экспериментальной работы</w:t>
            </w:r>
          </w:hyperlink>
        </w:p>
        <w:p w:rsidR="0040134B" w:rsidRPr="00631C0E" w:rsidRDefault="0040134B" w:rsidP="0040134B">
          <w:pPr>
            <w:pStyle w:val="11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514062308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ЗАКЛЮЧЕНИЕ</w:t>
            </w:r>
          </w:hyperlink>
        </w:p>
        <w:p w:rsidR="0040134B" w:rsidRPr="00631C0E" w:rsidRDefault="0040134B" w:rsidP="0040134B">
          <w:pPr>
            <w:pStyle w:val="11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  <w:hyperlink w:anchor="_Toc514062309" w:history="1">
            <w:r w:rsidRPr="00631C0E">
              <w:rPr>
                <w:rStyle w:val="a4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40134B" w:rsidRPr="00631C0E" w:rsidRDefault="0040134B" w:rsidP="0040134B">
          <w:pPr>
            <w:pStyle w:val="11"/>
            <w:tabs>
              <w:tab w:val="right" w:leader="dot" w:pos="9628"/>
            </w:tabs>
            <w:spacing w:before="0" w:line="240" w:lineRule="auto"/>
            <w:ind w:right="567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8"/>
              <w:szCs w:val="28"/>
              <w:lang w:eastAsia="ru-RU"/>
            </w:rPr>
          </w:pPr>
        </w:p>
        <w:p w:rsidR="0040134B" w:rsidRPr="00E6155A" w:rsidRDefault="0040134B" w:rsidP="0040134B">
          <w:pPr>
            <w:shd w:val="clear" w:color="auto" w:fill="FFFFFF" w:themeFill="background1"/>
            <w:contextualSpacing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631C0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0134B" w:rsidRDefault="0040134B">
      <w:pPr>
        <w:spacing w:after="160" w:line="259" w:lineRule="auto"/>
      </w:pPr>
      <w:r>
        <w:br w:type="page"/>
      </w:r>
    </w:p>
    <w:p w:rsidR="0040134B" w:rsidRPr="0040134B" w:rsidRDefault="0040134B" w:rsidP="0040134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514062308"/>
      <w:r w:rsidRPr="0040134B">
        <w:rPr>
          <w:rFonts w:ascii="Times New Roman" w:eastAsia="Times New Roman" w:hAnsi="Times New Roman" w:cs="Times New Roman"/>
          <w:bCs/>
          <w:caps/>
          <w:sz w:val="28"/>
          <w:szCs w:val="28"/>
        </w:rPr>
        <w:lastRenderedPageBreak/>
        <w:t>ЗАКЛЮЧЕНИЕ</w:t>
      </w:r>
      <w:bookmarkEnd w:id="0"/>
    </w:p>
    <w:p w:rsidR="0040134B" w:rsidRPr="0040134B" w:rsidRDefault="0040134B" w:rsidP="004013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34B" w:rsidRPr="0040134B" w:rsidRDefault="0040134B" w:rsidP="00401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Психологическая поддержка </w:t>
      </w:r>
      <w:proofErr w:type="spellStart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подростка - это технология, призванная помочь в решении проблем, возникающих в ней или предотвращая их, ее можно рассматривать как сопровождение отношений: их развитие, коррекцию, восстановление. В то же время серьезное внимание следует уделять более глубоким причинам поведенческих расстройств, связанных с ранее травмированными психологическими травмами и стрессами. </w:t>
      </w:r>
    </w:p>
    <w:p w:rsidR="0040134B" w:rsidRDefault="0040134B" w:rsidP="004013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направления поддержки, как подчеркивает А.Д. </w:t>
      </w:r>
      <w:proofErr w:type="spellStart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>Уилшанская</w:t>
      </w:r>
      <w:proofErr w:type="spellEnd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должна быть диагностической, коррекционной, аналитической, консультативно-образовательной, профилактической, организационно-методической формирование психологической культуры, развитие психологической компетентности подростков с </w:t>
      </w:r>
      <w:proofErr w:type="spellStart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поведением, администрацией, учителями, родителями. Учитывая персональные характеристики подростков, а также их травматический опыт полезен в дополнение к индивидуальной работе проведение групповых занятий, направленных на развитие личности, и для этого вы можете использовать программу «Открытие» Джин </w:t>
      </w:r>
      <w:proofErr w:type="spellStart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>Береби</w:t>
      </w:r>
      <w:proofErr w:type="spellEnd"/>
      <w:r w:rsidRPr="00401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0134B" w:rsidRPr="004B4168" w:rsidRDefault="0040134B" w:rsidP="0040134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168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групповой работе можно интенсивно изучать многие семантические проблемы, что чрезвычайно важно для эффективного завершения работы над травматическими переживаниями. Следует также отметить, что один из важнейших принципов сопровождения </w:t>
      </w:r>
      <w:proofErr w:type="spellStart"/>
      <w:r w:rsidRPr="004B4168"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4B4168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подростка должен быть всеобъемлющим: совместная организация различных специалистов в задаче сопровождения: лидеры классов, учителя, социальные педагоги, медицинские специалисты, логопеды, дефект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ология учителей</w:t>
      </w:r>
      <w:r w:rsidRPr="004B4168">
        <w:rPr>
          <w:rFonts w:ascii="Times New Roman" w:hAnsi="Times New Roman" w:cs="Times New Roman"/>
          <w:sz w:val="28"/>
          <w:szCs w:val="28"/>
          <w:lang w:eastAsia="ru-RU"/>
        </w:rPr>
        <w:t>. Необходимо также разработать рекомендации для оказания экстренной психологической помощи, которая может потребоваться в экстремальных критических с</w:t>
      </w:r>
      <w:r>
        <w:rPr>
          <w:rFonts w:ascii="Times New Roman" w:hAnsi="Times New Roman" w:cs="Times New Roman"/>
          <w:sz w:val="28"/>
          <w:szCs w:val="28"/>
          <w:lang w:eastAsia="ru-RU"/>
        </w:rPr>
        <w:t>итуациях</w:t>
      </w:r>
      <w:r w:rsidRPr="004B41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34B" w:rsidRDefault="0040134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0134B" w:rsidRPr="0040134B" w:rsidRDefault="0040134B" w:rsidP="0040134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bookmarkStart w:id="1" w:name="_Toc514062309"/>
      <w:r w:rsidRPr="0040134B">
        <w:rPr>
          <w:rFonts w:ascii="Times New Roman" w:eastAsia="Times New Roman" w:hAnsi="Times New Roman" w:cs="Times New Roman"/>
          <w:bCs/>
          <w:caps/>
          <w:sz w:val="28"/>
          <w:szCs w:val="28"/>
        </w:rPr>
        <w:lastRenderedPageBreak/>
        <w:t>СПИСОК ИСПОЛЬЗОВАННОЙ ЛИТЕРАТУРЫ</w:t>
      </w:r>
      <w:bookmarkEnd w:id="1"/>
    </w:p>
    <w:p w:rsidR="0040134B" w:rsidRPr="0040134B" w:rsidRDefault="0040134B" w:rsidP="004013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34B" w:rsidRPr="0040134B" w:rsidRDefault="0040134B" w:rsidP="0040134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правовой политики Республики Казахстан на период с 2010 по 2020 год. Указ Президента Республики Казахстан от 24 августа 2009 г. № 858.PP]. Режим доступа: http: //adilet.zan.kz/</w:t>
      </w: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eng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/U090000858_</w:t>
      </w:r>
    </w:p>
    <w:p w:rsidR="0040134B" w:rsidRPr="0040134B" w:rsidRDefault="0040134B" w:rsidP="0040134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принципы ООН для правосудия в отношении несовершеннолетних / / СБ. Международные стандарты и нормы ООН в области правосудия в отношении несовершеннолетних. - М., 1998. - с. 284-306.</w:t>
      </w:r>
    </w:p>
    <w:p w:rsidR="0040134B" w:rsidRPr="0040134B" w:rsidRDefault="0040134B" w:rsidP="0040134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детей и подростков: проблемы и решения / Под ред. В. А. Никитин. - Москва: ВЛАДОС, 1996.</w:t>
      </w:r>
    </w:p>
    <w:p w:rsidR="0040134B" w:rsidRPr="0040134B" w:rsidRDefault="0040134B" w:rsidP="0040134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34B">
        <w:rPr>
          <w:rFonts w:ascii="Times New Roman" w:eastAsia="Calibri" w:hAnsi="Times New Roman" w:cs="Times New Roman"/>
          <w:sz w:val="28"/>
          <w:szCs w:val="28"/>
        </w:rPr>
        <w:t>Магомедова Г.А.</w:t>
      </w:r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Девиантология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(психология </w:t>
      </w: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поведения). - Москва: Академия, 2004.</w:t>
      </w:r>
    </w:p>
    <w:p w:rsidR="0040134B" w:rsidRPr="0040134B" w:rsidRDefault="0040134B" w:rsidP="0040134B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Клейберг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Психология </w:t>
      </w: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поведения: </w:t>
      </w: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Proc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Справочник для университетов. - M: </w:t>
      </w:r>
      <w:proofErr w:type="spellStart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ball</w:t>
      </w:r>
      <w:proofErr w:type="spellEnd"/>
      <w:r w:rsidRPr="0040134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FC6293" w:rsidRDefault="00FC6293" w:rsidP="0040134B">
      <w:pPr>
        <w:spacing w:after="160" w:line="259" w:lineRule="auto"/>
      </w:pPr>
      <w:bookmarkStart w:id="2" w:name="_GoBack"/>
      <w:bookmarkEnd w:id="2"/>
    </w:p>
    <w:sectPr w:rsidR="00FC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BF3"/>
    <w:multiLevelType w:val="hybridMultilevel"/>
    <w:tmpl w:val="8BDAB7BC"/>
    <w:lvl w:ilvl="0" w:tplc="7E004E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EB"/>
    <w:rsid w:val="0040134B"/>
    <w:rsid w:val="00525DEB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59E7"/>
  <w15:chartTrackingRefBased/>
  <w15:docId w15:val="{6C3B37CB-DEDB-4340-BB2B-E5669216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4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01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34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134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0134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40134B"/>
    <w:pPr>
      <w:spacing w:before="240" w:after="0"/>
    </w:pPr>
    <w:rPr>
      <w:rFonts w:cstheme="minorHAns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1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0134B"/>
    <w:pPr>
      <w:spacing w:before="0" w:line="240" w:lineRule="auto"/>
      <w:ind w:firstLine="709"/>
      <w:jc w:val="both"/>
      <w:outlineLvl w:val="9"/>
    </w:pPr>
    <w:rPr>
      <w:rFonts w:ascii="Times New Roman" w:hAnsi="Times New Roman"/>
      <w:bCs/>
      <w: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2018-10-15T10:34:00Z</dcterms:created>
  <dcterms:modified xsi:type="dcterms:W3CDTF">2018-10-15T10:38:00Z</dcterms:modified>
</cp:coreProperties>
</file>