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A5" w:rsidRDefault="00CD2DE1" w:rsidP="00CD2DE1">
      <w:pPr>
        <w:jc w:val="center"/>
        <w:rPr>
          <w:rFonts w:ascii="Times New Roman" w:hAnsi="Times New Roman" w:cs="Times New Roman"/>
          <w:sz w:val="28"/>
          <w:szCs w:val="24"/>
        </w:rPr>
      </w:pPr>
      <w:r w:rsidRPr="00CD2DE1">
        <w:rPr>
          <w:rFonts w:ascii="Times New Roman" w:hAnsi="Times New Roman" w:cs="Times New Roman"/>
          <w:sz w:val="28"/>
          <w:szCs w:val="24"/>
        </w:rPr>
        <w:t>Др_Современные подходы к организации гражданско-патриотического воспитания во внеурочной деятельности</w:t>
      </w:r>
    </w:p>
    <w:p w:rsidR="00CD2DE1" w:rsidRDefault="00CD2DE1" w:rsidP="00CD2DE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Стр_66</w:t>
      </w:r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84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ВВЕДЕНИЕ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85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ГЛАВА 1. ТЕОРЕТИЧЕСКИЙ АНАЛИЗ ПСИХОЛОГО-ПЕДАГОГИЧЕСКИХ ИССЛЕДОВАНИЙ ПО ПРОБЛЕМЕ ОРГАНИЗАЦИИ ГРАЖДАНСКО-ПАТРИОТИЧЕСКОГО ВОСПИТАНИЯ ПОДРОСТКОВ ВО ВНЕУРОЧНОЙ ДЕЯТЕЛЬНОСТИ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86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1.1. Сущность понятия гражданско-патриотическое воспитание в современных психолого-педагогических исследованиях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87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1.2. Специфика организации гражданско-патриотического воспитания подростков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88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1.3. Потенциал внеурочной деятельности в организации гражданско-патриотического воспитания подростков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90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ГЛАВА 2. ОПЫТНО-ЭКСПЕРИМЕНТАЛЬНАЯ РАБОТА ПО ОРГАНИЗАЦИИ ГРАЖДАНСКО-ПАТРИОТИЧЕСКОГО ВОСПИТАНИЯ ПОДРОСТКОВ ВО ВНЕУРОЧНОЙ ДЕЯТЕЛЬНОСТИ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91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2.1. Изучение уровней гражданско-патриотического воспитания подростков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92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2.2. Реализация опытно-экспериментальной работы по организации гражданско-патриотического воспитания подростков во внеурочной деятельности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93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2.3. Оценка эффективности опытно-экспериментальной работы по организации гражданско-патриотического воспитания подростков во внеурочной деятельности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95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ЗAКЛЮЧЕНИЕ</w:t>
        </w:r>
      </w:hyperlink>
    </w:p>
    <w:p w:rsidR="00CD2DE1" w:rsidRPr="00CD2DE1" w:rsidRDefault="00CD2DE1" w:rsidP="00CD2DE1">
      <w:pPr>
        <w:tabs>
          <w:tab w:val="right" w:leader="dot" w:pos="9345"/>
        </w:tabs>
        <w:spacing w:after="0" w:line="360" w:lineRule="auto"/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96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СПИСОК ЛИТЕРAТУРЫ</w:t>
        </w:r>
      </w:hyperlink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  <w:hyperlink w:anchor="_Toc191575897" w:history="1">
        <w:r w:rsidRPr="00CD2DE1">
          <w:rPr>
            <w:rFonts w:ascii="Times New Roman" w:eastAsia="Calibri" w:hAnsi="Times New Roman" w:cs="Times New Roman"/>
            <w:noProof/>
            <w:sz w:val="24"/>
            <w:szCs w:val="28"/>
          </w:rPr>
          <w:t>ПРИЛОЖЕНИЯ</w:t>
        </w:r>
        <w:r w:rsidRPr="00CD2DE1">
          <w:rPr>
            <w:rFonts w:ascii="Times New Roman" w:eastAsia="Calibri" w:hAnsi="Times New Roman" w:cs="Times New Roman"/>
            <w:noProof/>
            <w:webHidden/>
            <w:sz w:val="24"/>
            <w:szCs w:val="28"/>
          </w:rPr>
          <w:tab/>
        </w:r>
      </w:hyperlink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Default="00CD2DE1" w:rsidP="00CD2DE1">
      <w:pPr>
        <w:rPr>
          <w:rFonts w:ascii="Times New Roman" w:eastAsia="Calibri" w:hAnsi="Times New Roman" w:cs="Times New Roman"/>
          <w:noProof/>
          <w:sz w:val="24"/>
          <w:szCs w:val="28"/>
        </w:rPr>
      </w:pPr>
    </w:p>
    <w:p w:rsidR="00CD2DE1" w:rsidRPr="00CD2DE1" w:rsidRDefault="00CD2DE1" w:rsidP="00CD2DE1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2D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ЗAКЛЮЧЕНИЕ</w:t>
      </w:r>
    </w:p>
    <w:p w:rsidR="00CD2DE1" w:rsidRPr="00CD2DE1" w:rsidRDefault="00CD2DE1" w:rsidP="00CD2DE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</w:p>
    <w:p w:rsidR="00CD2DE1" w:rsidRPr="00CD2DE1" w:rsidRDefault="00CD2DE1" w:rsidP="00CD2DE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0"/>
        </w:rPr>
      </w:pPr>
      <w:r w:rsidRPr="00CD2DE1">
        <w:rPr>
          <w:rFonts w:ascii="Times New Roman" w:eastAsia="Calibri" w:hAnsi="Times New Roman" w:cs="Times New Roman"/>
          <w:bCs/>
          <w:sz w:val="28"/>
          <w:szCs w:val="20"/>
        </w:rPr>
        <w:t>Проведенное в выпускной квалификационной работе исследования позволило сделать следующие выводы:</w:t>
      </w:r>
    </w:p>
    <w:p w:rsidR="00CD2DE1" w:rsidRPr="00CD2DE1" w:rsidRDefault="00CD2DE1" w:rsidP="00CD2DE1">
      <w:pPr>
        <w:widowControl w:val="0"/>
        <w:pBdr>
          <w:between w:val="nil"/>
          <w:bar w:val="nil"/>
        </w:pBdr>
        <w:spacing w:after="0" w:line="360" w:lineRule="auto"/>
        <w:ind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DE1">
        <w:rPr>
          <w:rFonts w:ascii="Times New Roman" w:eastAsia="Calibri" w:hAnsi="Times New Roman" w:cs="Times New Roman"/>
          <w:sz w:val="28"/>
          <w:szCs w:val="28"/>
        </w:rPr>
        <w:t>Исследование понятия «гражданско-патриотическое воспитание» в современной психолого-педагогической науке показало, что оно представляет собой целенаправленный процесс формирования у подрастающего поколения системы ценностей, отражающих гражданскую идентичность, патриотические убеждения и готовность к осознанному участию в жизни общества. Важнейшими составляющими данного процесса являются развитие социальной ответственности, правового сознания, уважения к традициям и культуре своей страны. Ученые рассматривают гражданско-патриотическое воспитание как сложный интегративный феномен, обеспечивающий преемственность национальных традиций и формирующий активную гражданскую позицию подростков.</w:t>
      </w: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</w:p>
    <w:p w:rsidR="00CD2DE1" w:rsidRDefault="00CD2DE1" w:rsidP="00CD2DE1">
      <w:pPr>
        <w:pStyle w:val="1"/>
        <w:spacing w:line="360" w:lineRule="auto"/>
        <w:jc w:val="center"/>
        <w:rPr>
          <w:b/>
          <w:szCs w:val="28"/>
        </w:rPr>
      </w:pPr>
      <w:r w:rsidRPr="00125EED">
        <w:rPr>
          <w:b/>
          <w:szCs w:val="28"/>
        </w:rPr>
        <w:t>СПИСОК ЛИТЕРAТУРЫ</w:t>
      </w:r>
    </w:p>
    <w:p w:rsidR="00CD2DE1" w:rsidRPr="00DA36DC" w:rsidRDefault="00CD2DE1" w:rsidP="00CD2DE1">
      <w:pPr>
        <w:spacing w:line="360" w:lineRule="auto"/>
        <w:ind w:firstLine="709"/>
        <w:jc w:val="both"/>
        <w:rPr>
          <w:sz w:val="28"/>
          <w:szCs w:val="28"/>
        </w:rPr>
      </w:pPr>
    </w:p>
    <w:p w:rsidR="00CD2DE1" w:rsidRPr="00DA36DC" w:rsidRDefault="00CD2DE1" w:rsidP="00CD2D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A36DC">
        <w:rPr>
          <w:sz w:val="28"/>
          <w:szCs w:val="28"/>
        </w:rPr>
        <w:t>Алейникова</w:t>
      </w:r>
      <w:proofErr w:type="spellEnd"/>
      <w:r w:rsidRPr="00DA36DC">
        <w:rPr>
          <w:sz w:val="28"/>
          <w:szCs w:val="28"/>
        </w:rPr>
        <w:t xml:space="preserve">, Е. В. Сущность и задачи патриотического воспитания младших школьников / Е. В. </w:t>
      </w:r>
      <w:proofErr w:type="spellStart"/>
      <w:r w:rsidRPr="00DA36DC">
        <w:rPr>
          <w:sz w:val="28"/>
          <w:szCs w:val="28"/>
        </w:rPr>
        <w:t>Алейникова</w:t>
      </w:r>
      <w:proofErr w:type="spellEnd"/>
      <w:r w:rsidRPr="00DA36DC">
        <w:rPr>
          <w:sz w:val="28"/>
          <w:szCs w:val="28"/>
        </w:rPr>
        <w:t>, В. А. Романов // Уральский научный вестник. – 2023. – Т. 1, № 2. – С. 27-33.</w:t>
      </w:r>
    </w:p>
    <w:p w:rsidR="00CD2DE1" w:rsidRPr="00DA36DC" w:rsidRDefault="00CD2DE1" w:rsidP="00CD2D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36DC">
        <w:rPr>
          <w:sz w:val="28"/>
          <w:szCs w:val="28"/>
        </w:rPr>
        <w:t xml:space="preserve">Амосова, О. С. Генезис понятий "воспитание", "обучение" и "образование" / О. С. Амосова // Образование: традиции и инновации. – 2021. – № 3(34). – С. 27-38. </w:t>
      </w:r>
    </w:p>
    <w:p w:rsidR="00CD2DE1" w:rsidRPr="00DA36DC" w:rsidRDefault="00CD2DE1" w:rsidP="00CD2D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36DC">
        <w:rPr>
          <w:sz w:val="28"/>
          <w:szCs w:val="28"/>
        </w:rPr>
        <w:t xml:space="preserve">Беляев, Г. Ю. Гражданско-патриотическое воспитание в современном мире / Г. Ю. Беляев // Нижегородское образование. – 2022. – № 1. – С. 4-15. </w:t>
      </w:r>
    </w:p>
    <w:p w:rsidR="00CD2DE1" w:rsidRPr="00DA36DC" w:rsidRDefault="00CD2DE1" w:rsidP="00CD2D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36DC">
        <w:rPr>
          <w:sz w:val="28"/>
          <w:szCs w:val="28"/>
        </w:rPr>
        <w:t>Беляева, Д. Н. Патриотическое воспитание младших школьников в современном этнокультурном образовании / Д. Н. Беляева // Информация и образование: границы коммуникаций. – 2021. – № 13(21). – С. 224-225.</w:t>
      </w:r>
    </w:p>
    <w:p w:rsidR="00CD2DE1" w:rsidRPr="00DA36DC" w:rsidRDefault="00CD2DE1" w:rsidP="00CD2DE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A36DC">
        <w:rPr>
          <w:sz w:val="28"/>
          <w:szCs w:val="28"/>
        </w:rPr>
        <w:t xml:space="preserve">Богачева Г. Г. Внеурочная деятельность как средство формирования социальной компетентности учащихся// Актуальные задачи педагогики: материалы V </w:t>
      </w:r>
      <w:proofErr w:type="spellStart"/>
      <w:r w:rsidRPr="00DA36DC">
        <w:rPr>
          <w:sz w:val="28"/>
          <w:szCs w:val="28"/>
        </w:rPr>
        <w:t>Междунар</w:t>
      </w:r>
      <w:proofErr w:type="spellEnd"/>
      <w:r w:rsidRPr="00DA36DC">
        <w:rPr>
          <w:sz w:val="28"/>
          <w:szCs w:val="28"/>
        </w:rPr>
        <w:t xml:space="preserve">. науч. </w:t>
      </w:r>
      <w:proofErr w:type="spellStart"/>
      <w:r w:rsidRPr="00DA36DC">
        <w:rPr>
          <w:sz w:val="28"/>
          <w:szCs w:val="28"/>
        </w:rPr>
        <w:t>конф</w:t>
      </w:r>
      <w:proofErr w:type="spellEnd"/>
      <w:r w:rsidRPr="00DA36DC">
        <w:rPr>
          <w:sz w:val="28"/>
          <w:szCs w:val="28"/>
        </w:rPr>
        <w:t>. (г. Чита, апрель 2014 г.). - Чита: Издательство Молодой ученый, 2014. - С. 92-106.</w:t>
      </w:r>
    </w:p>
    <w:p w:rsidR="00CD2DE1" w:rsidRPr="00CD2DE1" w:rsidRDefault="00CD2DE1" w:rsidP="00CD2D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2DE1" w:rsidRPr="00CD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3869"/>
    <w:multiLevelType w:val="hybridMultilevel"/>
    <w:tmpl w:val="857A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5E"/>
    <w:rsid w:val="00CD2DE1"/>
    <w:rsid w:val="00E6255E"/>
    <w:rsid w:val="00E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0A72"/>
  <w15:chartTrackingRefBased/>
  <w15:docId w15:val="{F8466FC5-408E-46BC-A252-706EA8B8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DE1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DE1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CD2DE1"/>
    <w:pPr>
      <w:spacing w:after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2025-12-03T14:52:00Z</dcterms:created>
  <dcterms:modified xsi:type="dcterms:W3CDTF">2025-12-03T14:54:00Z</dcterms:modified>
</cp:coreProperties>
</file>