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C31" w:rsidRDefault="00306C31" w:rsidP="00306C31">
      <w:pPr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Др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>_«</w:t>
      </w:r>
      <w:proofErr w:type="gramEnd"/>
      <w:r>
        <w:rPr>
          <w:rFonts w:ascii="Times New Roman" w:hAnsi="Times New Roman" w:cs="Times New Roman"/>
          <w:sz w:val="24"/>
        </w:rPr>
        <w:t xml:space="preserve">Стратегии устойчивого финансирования в страховании жизни: использование ESG-принципов для долгосрочной финансовой стабильности и повышения инвестиционной привлекательности </w:t>
      </w:r>
    </w:p>
    <w:p w:rsidR="00306C31" w:rsidRDefault="00306C31" w:rsidP="00306C3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Стр_63</w:t>
      </w:r>
    </w:p>
    <w:p w:rsidR="00306C31" w:rsidRDefault="00306C31" w:rsidP="00306C3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C31" w:rsidRDefault="00306C31" w:rsidP="00306C3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026"/>
      </w:tblGrid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82580288"/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</w:tr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ТЕОРЕТИЧЕСКИЕ ОСНОВЫ СТРАХОВАНИЯ ЖИЗНИ И ПРИНЦИПЫ УСТОЙЧИВОГО ФИНАНСИРОВАНИЯ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Сущность и значение устойчивого финансирования для страховой отрасли 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моделей финансирования в страховании жизни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развития ESG-принципов в финансовой сфере</w:t>
            </w:r>
          </w:p>
        </w:tc>
      </w:tr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ИНТЕГРАЦИИ ESG-ПРИНЦИПОВ В СТРАТЕГИЮ ФИНАНСИРОВАНИЯ И РАЗВИТИЯ АО 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Текущее состояние и особенности страхового рынка Республики Казахстан 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влияния ESG-принципов на стратегию и финансовые показатели АО 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Сравнительный анализ внедрения ESG-принципов в АО  и страховых компаниях Республики Казахстан</w:t>
            </w:r>
          </w:p>
        </w:tc>
      </w:tr>
      <w:tr w:rsidR="00306C31" w:rsidTr="00306C31">
        <w:trPr>
          <w:trHeight w:val="152"/>
        </w:trPr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ИНВЕСТИЦИОННОЙ ПРИВЛЕКАТЕЛЬНОСТИ СТРАХОВЫХ ПРОДУКТОВ ЧЕРЕЗ ESG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Перспективные инструменты и методы устойчивого финансирования в контексте ESG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разработке и продвижению ESG-ориентированных страховых продуктов</w:t>
            </w:r>
          </w:p>
        </w:tc>
      </w:tr>
      <w:tr w:rsidR="00306C31" w:rsidTr="00306C31">
        <w:tc>
          <w:tcPr>
            <w:tcW w:w="793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 место ESG-ориентированного подхода в будущем развитии страхового рынка Казахстана</w:t>
            </w:r>
          </w:p>
        </w:tc>
      </w:tr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</w:t>
            </w:r>
          </w:p>
        </w:tc>
      </w:tr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ИСПОЛЬЗОВАННЫХ ИСТОЧНИКОВ</w:t>
            </w:r>
          </w:p>
        </w:tc>
      </w:tr>
      <w:tr w:rsidR="00306C31" w:rsidTr="00306C31">
        <w:tc>
          <w:tcPr>
            <w:tcW w:w="793" w:type="dxa"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6" w:type="dxa"/>
            <w:hideMark/>
          </w:tcPr>
          <w:p w:rsidR="00306C31" w:rsidRDefault="00306C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ПРИЛОЖЕНИЯ</w:t>
            </w:r>
          </w:p>
        </w:tc>
      </w:tr>
      <w:bookmarkEnd w:id="0"/>
    </w:tbl>
    <w:p w:rsidR="00306C31" w:rsidRDefault="00306C31" w:rsidP="00306C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06C31" w:rsidRDefault="00306C31" w:rsidP="00306C3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306C31" w:rsidRDefault="00306C31" w:rsidP="00306C31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br w:type="page"/>
      </w:r>
    </w:p>
    <w:p w:rsidR="00306C31" w:rsidRDefault="00306C31" w:rsidP="00306C31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</w:p>
    <w:p w:rsidR="00306C31" w:rsidRDefault="00306C31" w:rsidP="00306C3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306C31" w:rsidRDefault="00306C31" w:rsidP="00306C3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Теоретический анализ устойчивого финансирования в страховой отрасли демонстрирует его ключевую роль в формировании долгосрочной финансовой стабильности и минимизации ESG-рисков. Устойчивая финансовая система, активно развивающаяся с 2010-х годов, направлена на поддержку экологически и социально ответственных инвестиций, что соответствует глобальным инициативам, таким как Цели устойчивого развития (ЦУР) и Парижское соглашение по климату. Европейский союз, наряду с другими экономическими центрами, играет ведущую роль в интеграции ESG-принципов в финансовый сектор, включая страхование, что подтверждается разработкой таксономии устойчивого финансирования и усилением регуляторных требований.</w:t>
      </w: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keepNext/>
        <w:keepLines/>
        <w:spacing w:after="0" w:line="240" w:lineRule="auto"/>
        <w:ind w:firstLine="720"/>
        <w:jc w:val="center"/>
        <w:outlineLvl w:val="0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>СПИСОК ИСПОЛЬЗОВАННЫХ ИСТОЧНИКОВ</w:t>
      </w:r>
    </w:p>
    <w:p w:rsidR="00306C31" w:rsidRDefault="00306C31" w:rsidP="00306C31">
      <w:pPr>
        <w:spacing w:after="0" w:line="240" w:lineRule="auto"/>
        <w:ind w:firstLine="709"/>
        <w:rPr>
          <w:rFonts w:ascii="Times New Roman" w:eastAsiaTheme="majorEastAsia" w:hAnsi="Times New Roman" w:cs="Times New Roman"/>
          <w:sz w:val="28"/>
          <w:szCs w:val="28"/>
        </w:rPr>
      </w:pPr>
    </w:p>
    <w:p w:rsidR="00306C31" w:rsidRDefault="00306C31" w:rsidP="00306C3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sz w:val="28"/>
          <w:szCs w:val="28"/>
        </w:rPr>
        <w:t xml:space="preserve">Послание Главы государства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Касым-Жомарта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</w:rPr>
        <w:t>Токаева</w:t>
      </w:r>
      <w:proofErr w:type="spellEnd"/>
      <w:r>
        <w:rPr>
          <w:rFonts w:ascii="Times New Roman" w:eastAsiaTheme="majorEastAsia" w:hAnsi="Times New Roman" w:cs="Times New Roman"/>
          <w:sz w:val="28"/>
          <w:szCs w:val="28"/>
        </w:rPr>
        <w:t xml:space="preserve"> народу Казахстана «Справедливый Казахстан: закон и порядок, экономический рост, общественный оптимизм» (г. Астана, 2 сентября 2024 года)</w:t>
      </w:r>
    </w:p>
    <w:p w:rsidR="00306C31" w:rsidRDefault="00306C31" w:rsidP="00306C3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принципов ESG в страховой отрасли расширяется //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https://www.ra-national.ru/wp-content/uploads/2024/04/nra_obzor_esg-v-strahovanii_18.04.2024-2.pdf</w:t>
        </w:r>
      </w:hyperlink>
    </w:p>
    <w:p w:rsidR="00306C31" w:rsidRDefault="00306C31" w:rsidP="00306C31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Худякова Л.С. Реформа глобальных финансов в контексте устойчивого развития. Мировая экономика и международные отношения, 2018, том 62, № 7, С. 38-47. </w:t>
      </w:r>
    </w:p>
    <w:p w:rsidR="00306C31" w:rsidRDefault="00306C31" w:rsidP="00306C3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Парижское соглашение //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https://www.un.org/ru/climatechange/paris-agreement</w:t>
        </w:r>
      </w:hyperlink>
    </w:p>
    <w:p w:rsidR="00306C31" w:rsidRDefault="00306C31" w:rsidP="00306C31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Организации Объединенных Наций по окружающей среде (ЮНЕП) //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https://www.un.org/ru/ga/unep/</w:t>
        </w:r>
      </w:hyperlink>
    </w:p>
    <w:p w:rsidR="00306C31" w:rsidRDefault="00306C31" w:rsidP="00306C31">
      <w:pPr>
        <w:rPr>
          <w:rFonts w:ascii="Times New Roman" w:eastAsiaTheme="majorEastAsia" w:hAnsi="Times New Roman" w:cs="Times New Roman"/>
          <w:sz w:val="28"/>
          <w:szCs w:val="28"/>
        </w:rPr>
      </w:pPr>
      <w:bookmarkStart w:id="1" w:name="_GoBack"/>
      <w:bookmarkEnd w:id="1"/>
    </w:p>
    <w:p w:rsidR="00A0481B" w:rsidRDefault="00A0481B"/>
    <w:sectPr w:rsidR="00A0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F48"/>
    <w:multiLevelType w:val="hybridMultilevel"/>
    <w:tmpl w:val="A34633CE"/>
    <w:lvl w:ilvl="0" w:tplc="E1B43DA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4"/>
    <w:rsid w:val="002773D4"/>
    <w:rsid w:val="00306C31"/>
    <w:rsid w:val="00A0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77F2"/>
  <w15:chartTrackingRefBased/>
  <w15:docId w15:val="{9A2996E5-0167-4434-A952-4B93D4BD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C31"/>
    <w:pPr>
      <w:spacing w:line="25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06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6C31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06C3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306C3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6C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.org/ru/ga/un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ru/climatechange/paris-agreement" TargetMode="External"/><Relationship Id="rId5" Type="http://schemas.openxmlformats.org/officeDocument/2006/relationships/hyperlink" Target="https://www.ra-national.ru/wp-content/uploads/2024/04/nra_obzor_esg-v-strahovanii_18.04.2024-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2025-12-09T14:08:00Z</dcterms:created>
  <dcterms:modified xsi:type="dcterms:W3CDTF">2025-12-09T14:10:00Z</dcterms:modified>
</cp:coreProperties>
</file>