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4C" w:rsidRPr="00882438" w:rsidRDefault="000A654C" w:rsidP="000A654C">
      <w:pPr>
        <w:tabs>
          <w:tab w:val="left" w:pos="2520"/>
        </w:tabs>
        <w:jc w:val="right"/>
        <w:rPr>
          <w:sz w:val="28"/>
          <w:szCs w:val="28"/>
        </w:rPr>
      </w:pPr>
    </w:p>
    <w:p w:rsidR="000A654C" w:rsidRDefault="000A654C" w:rsidP="000A654C">
      <w:pPr>
        <w:tabs>
          <w:tab w:val="left" w:pos="2520"/>
        </w:tabs>
        <w:jc w:val="center"/>
        <w:rPr>
          <w:b/>
          <w:sz w:val="28"/>
          <w:szCs w:val="28"/>
        </w:rPr>
      </w:pPr>
      <w:proofErr w:type="spellStart"/>
      <w:r>
        <w:rPr>
          <w:b/>
          <w:sz w:val="28"/>
          <w:szCs w:val="28"/>
        </w:rPr>
        <w:t>Др</w:t>
      </w:r>
      <w:proofErr w:type="spellEnd"/>
      <w:r>
        <w:rPr>
          <w:b/>
          <w:sz w:val="28"/>
          <w:szCs w:val="28"/>
        </w:rPr>
        <w:t>-</w:t>
      </w:r>
      <w:r w:rsidRPr="00307A17">
        <w:rPr>
          <w:b/>
          <w:sz w:val="28"/>
          <w:szCs w:val="28"/>
        </w:rPr>
        <w:t xml:space="preserve">Учет и аудит денежных средств в организации </w:t>
      </w:r>
    </w:p>
    <w:p w:rsidR="000A654C" w:rsidRDefault="000A654C" w:rsidP="000A654C">
      <w:pPr>
        <w:tabs>
          <w:tab w:val="left" w:pos="2520"/>
        </w:tabs>
        <w:jc w:val="center"/>
        <w:rPr>
          <w:b/>
          <w:sz w:val="28"/>
          <w:szCs w:val="28"/>
        </w:rPr>
      </w:pPr>
      <w:r>
        <w:rPr>
          <w:b/>
          <w:sz w:val="28"/>
          <w:szCs w:val="28"/>
        </w:rPr>
        <w:t>Стр-75</w:t>
      </w:r>
    </w:p>
    <w:p w:rsidR="000A654C" w:rsidRDefault="000A654C" w:rsidP="000A654C">
      <w:pPr>
        <w:autoSpaceDE w:val="0"/>
        <w:autoSpaceDN w:val="0"/>
        <w:adjustRightInd w:val="0"/>
        <w:jc w:val="center"/>
        <w:rPr>
          <w:rFonts w:ascii="Times New Roman CYR" w:hAnsi="Times New Roman CYR" w:cs="Times New Roman CYR"/>
          <w:smallCaps/>
          <w:sz w:val="28"/>
          <w:szCs w:val="28"/>
        </w:rPr>
      </w:pPr>
      <w:r>
        <w:rPr>
          <w:rFonts w:ascii="Times New Roman CYR" w:hAnsi="Times New Roman CYR" w:cs="Times New Roman CYR"/>
          <w:smallCaps/>
          <w:sz w:val="28"/>
          <w:szCs w:val="28"/>
        </w:rPr>
        <w:t>СОДЕРЖАНИЕ</w:t>
      </w:r>
    </w:p>
    <w:p w:rsidR="000A654C" w:rsidRDefault="000A654C" w:rsidP="000A654C">
      <w:pPr>
        <w:pStyle w:val="11"/>
        <w:jc w:val="left"/>
        <w:rPr>
          <w:rFonts w:asciiTheme="minorHAnsi" w:eastAsiaTheme="minorEastAsia" w:hAnsiTheme="minorHAnsi" w:cstheme="minorBidi"/>
          <w:noProof/>
          <w:color w:val="auto"/>
          <w:kern w:val="0"/>
          <w:sz w:val="22"/>
          <w:szCs w:val="22"/>
          <w:lang w:eastAsia="ru-RU"/>
        </w:rPr>
      </w:pPr>
      <w:r>
        <w:rPr>
          <w:rFonts w:ascii="Times New Roman CYR" w:hAnsi="Times New Roman CYR" w:cs="Times New Roman CYR"/>
        </w:rPr>
        <w:fldChar w:fldCharType="begin"/>
      </w:r>
      <w:r>
        <w:rPr>
          <w:rFonts w:ascii="Times New Roman CYR" w:hAnsi="Times New Roman CYR" w:cs="Times New Roman CYR"/>
        </w:rPr>
        <w:instrText xml:space="preserve"> TOC \o "1-3" \h \z \u </w:instrText>
      </w:r>
      <w:r>
        <w:rPr>
          <w:rFonts w:ascii="Times New Roman CYR" w:hAnsi="Times New Roman CYR" w:cs="Times New Roman CYR"/>
        </w:rPr>
        <w:fldChar w:fldCharType="separate"/>
      </w:r>
      <w:hyperlink w:anchor="_Toc449340615" w:history="1">
        <w:r w:rsidRPr="00520DAC">
          <w:rPr>
            <w:rStyle w:val="a3"/>
            <w:noProof/>
            <w:lang w:bidi="en-US"/>
          </w:rPr>
          <w:t>ВВЕДЕНИЕ</w:t>
        </w:r>
      </w:hyperlink>
    </w:p>
    <w:p w:rsidR="000A654C" w:rsidRDefault="000A654C" w:rsidP="000A654C">
      <w:pPr>
        <w:pStyle w:val="11"/>
        <w:jc w:val="left"/>
        <w:rPr>
          <w:rStyle w:val="a3"/>
          <w:noProof/>
        </w:rPr>
      </w:pP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16" w:history="1">
        <w:r w:rsidR="000A654C" w:rsidRPr="00520DAC">
          <w:rPr>
            <w:rStyle w:val="a3"/>
            <w:noProof/>
            <w:lang w:bidi="en-US"/>
          </w:rPr>
          <w:t>1 ТЕОРЕТИЧЕСКИЕ АСПЕКТЫ УЧЕТА И АУДИТА ДЕНЕЖНЫХ СРЕДСТВ В ОРГАНИЗАЦИИ</w:t>
        </w:r>
      </w:hyperlink>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17" w:history="1">
        <w:r w:rsidR="000A654C" w:rsidRPr="00520DAC">
          <w:rPr>
            <w:rStyle w:val="a3"/>
            <w:noProof/>
            <w:lang w:bidi="en-US"/>
          </w:rPr>
          <w:t>1.1 Экономическая сущность и значение денежных средств в хозяйственной деятельности предприятия</w:t>
        </w:r>
      </w:hyperlink>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18" w:history="1">
        <w:r w:rsidR="000A654C" w:rsidRPr="00520DAC">
          <w:rPr>
            <w:rStyle w:val="a3"/>
            <w:noProof/>
            <w:lang w:bidi="en-US"/>
          </w:rPr>
          <w:t>1.2 Порядок учета денежных средств в соответствии с МСФО 7</w:t>
        </w:r>
      </w:hyperlink>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19" w:history="1">
        <w:r w:rsidR="000A654C" w:rsidRPr="00520DAC">
          <w:rPr>
            <w:rStyle w:val="a3"/>
            <w:noProof/>
            <w:lang w:bidi="en-US"/>
          </w:rPr>
          <w:t>1.3 Цели и задачи аудита денежных средств</w:t>
        </w:r>
      </w:hyperlink>
    </w:p>
    <w:p w:rsidR="00931F66" w:rsidRPr="00AB3668" w:rsidRDefault="00931F66" w:rsidP="00931F66">
      <w:pPr>
        <w:autoSpaceDE w:val="0"/>
        <w:autoSpaceDN w:val="0"/>
        <w:adjustRightInd w:val="0"/>
        <w:rPr>
          <w:rFonts w:ascii="Times New Roman CYR" w:hAnsi="Times New Roman CYR" w:cs="Times New Roman CYR"/>
          <w:smallCaps/>
          <w:sz w:val="28"/>
          <w:szCs w:val="28"/>
        </w:rPr>
      </w:pPr>
    </w:p>
    <w:p w:rsidR="000A654C" w:rsidRDefault="000A654C" w:rsidP="000A654C">
      <w:pPr>
        <w:pStyle w:val="11"/>
        <w:jc w:val="left"/>
        <w:rPr>
          <w:rStyle w:val="a3"/>
          <w:noProof/>
        </w:rPr>
      </w:pP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0" w:history="1">
        <w:r w:rsidR="000A654C" w:rsidRPr="00520DAC">
          <w:rPr>
            <w:rStyle w:val="a3"/>
            <w:noProof/>
            <w:lang w:bidi="en-US"/>
          </w:rPr>
          <w:t>2 ОРГАНИЗАЦИЯ УЧ</w:t>
        </w:r>
        <w:r w:rsidR="000A654C">
          <w:rPr>
            <w:rStyle w:val="a3"/>
            <w:noProof/>
            <w:lang w:bidi="en-US"/>
          </w:rPr>
          <w:t>ЕТА ДЕНЕЖНЫХ СРЕДСТВ В  ТОО «</w:t>
        </w:r>
        <w:r w:rsidR="000A654C" w:rsidRPr="00520DAC">
          <w:rPr>
            <w:rStyle w:val="a3"/>
            <w:noProof/>
            <w:lang w:bidi="en-US"/>
          </w:rPr>
          <w:t>»</w:t>
        </w:r>
      </w:hyperlink>
      <w:r w:rsidR="000A654C">
        <w:rPr>
          <w:rFonts w:asciiTheme="minorHAnsi" w:eastAsiaTheme="minorEastAsia" w:hAnsiTheme="minorHAnsi" w:cstheme="minorBidi"/>
          <w:noProof/>
          <w:color w:val="auto"/>
          <w:kern w:val="0"/>
          <w:sz w:val="22"/>
          <w:szCs w:val="22"/>
          <w:lang w:eastAsia="ru-RU"/>
        </w:rPr>
        <w:t xml:space="preserve"> </w:t>
      </w: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1" w:history="1">
        <w:r w:rsidR="000A654C" w:rsidRPr="00520DAC">
          <w:rPr>
            <w:rStyle w:val="a3"/>
            <w:noProof/>
            <w:lang w:bidi="en-US"/>
          </w:rPr>
          <w:t>2.1 Характеристика деятельности предприятия  ТОО «»</w:t>
        </w:r>
      </w:hyperlink>
      <w:r w:rsidR="000A654C">
        <w:rPr>
          <w:rFonts w:asciiTheme="minorHAnsi" w:eastAsiaTheme="minorEastAsia" w:hAnsiTheme="minorHAnsi" w:cstheme="minorBidi"/>
          <w:noProof/>
          <w:color w:val="auto"/>
          <w:kern w:val="0"/>
          <w:sz w:val="22"/>
          <w:szCs w:val="22"/>
          <w:lang w:eastAsia="ru-RU"/>
        </w:rPr>
        <w:t xml:space="preserve"> </w:t>
      </w: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2" w:history="1">
        <w:r w:rsidR="000A654C" w:rsidRPr="00520DAC">
          <w:rPr>
            <w:rStyle w:val="a3"/>
            <w:noProof/>
            <w:lang w:bidi="en-US"/>
          </w:rPr>
          <w:t>2.2 Порядок учета денежных средств в кассе на предприятии</w:t>
        </w:r>
      </w:hyperlink>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3" w:history="1">
        <w:r w:rsidR="000A654C" w:rsidRPr="00520DAC">
          <w:rPr>
            <w:rStyle w:val="a3"/>
            <w:noProof/>
            <w:lang w:bidi="en-US"/>
          </w:rPr>
          <w:t>2.3 Учет денежных средств на расчетных счетах в банках</w:t>
        </w:r>
      </w:hyperlink>
    </w:p>
    <w:p w:rsidR="000A654C" w:rsidRDefault="000A654C" w:rsidP="000A654C">
      <w:pPr>
        <w:pStyle w:val="11"/>
        <w:jc w:val="left"/>
        <w:rPr>
          <w:rStyle w:val="a3"/>
          <w:noProof/>
        </w:rPr>
      </w:pP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4" w:history="1">
        <w:r w:rsidR="000A654C" w:rsidRPr="00520DAC">
          <w:rPr>
            <w:rStyle w:val="a3"/>
            <w:noProof/>
            <w:lang w:bidi="en-US"/>
          </w:rPr>
          <w:t>3 АУДИТ ДЕНЕЖНЫХ СРЕДСТВ В ТОО «» И ПУТИ СОВЕРШЕНСТВОВАНИЯ ДЕЙСТВУЮЩЕЙ ПРАКТИКИ УЧЕТА ДЕНЕЖНЫХ СРЕДСТВ</w:t>
        </w:r>
      </w:hyperlink>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5" w:history="1">
        <w:r w:rsidR="000A654C" w:rsidRPr="00520DAC">
          <w:rPr>
            <w:rStyle w:val="a3"/>
            <w:noProof/>
            <w:lang w:bidi="en-US"/>
          </w:rPr>
          <w:t>3.1 Аудиторская проверка правильности ведения учета денежных средств предприятия</w:t>
        </w:r>
      </w:hyperlink>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6" w:history="1">
        <w:r w:rsidR="000A654C" w:rsidRPr="00520DAC">
          <w:rPr>
            <w:rStyle w:val="a3"/>
            <w:noProof/>
            <w:lang w:bidi="en-US"/>
          </w:rPr>
          <w:t>3.2 Основные направления совершенствования бухгалтерского учета и внутренней системы аудита денежных средств и управления денежными потоками на предприятии</w:t>
        </w:r>
      </w:hyperlink>
    </w:p>
    <w:p w:rsidR="000A654C" w:rsidRDefault="000A654C" w:rsidP="000A654C">
      <w:pPr>
        <w:pStyle w:val="11"/>
        <w:jc w:val="left"/>
        <w:rPr>
          <w:rStyle w:val="a3"/>
          <w:noProof/>
        </w:rPr>
      </w:pP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7" w:history="1">
        <w:r w:rsidR="000A654C" w:rsidRPr="00520DAC">
          <w:rPr>
            <w:rStyle w:val="a3"/>
            <w:noProof/>
            <w:lang w:bidi="en-US"/>
          </w:rPr>
          <w:t>ЗАКЛЮЧЕНИЕ</w:t>
        </w:r>
      </w:hyperlink>
    </w:p>
    <w:p w:rsidR="000A654C" w:rsidRDefault="000A654C" w:rsidP="000A654C">
      <w:pPr>
        <w:pStyle w:val="11"/>
        <w:jc w:val="left"/>
        <w:rPr>
          <w:rStyle w:val="a3"/>
          <w:noProof/>
        </w:rPr>
      </w:pPr>
    </w:p>
    <w:p w:rsidR="000A654C" w:rsidRDefault="00931F66" w:rsidP="000A654C">
      <w:pPr>
        <w:pStyle w:val="11"/>
        <w:jc w:val="left"/>
        <w:rPr>
          <w:rFonts w:asciiTheme="minorHAnsi" w:eastAsiaTheme="minorEastAsia" w:hAnsiTheme="minorHAnsi" w:cstheme="minorBidi"/>
          <w:noProof/>
          <w:color w:val="auto"/>
          <w:kern w:val="0"/>
          <w:sz w:val="22"/>
          <w:szCs w:val="22"/>
          <w:lang w:eastAsia="ru-RU"/>
        </w:rPr>
      </w:pPr>
      <w:hyperlink w:anchor="_Toc449340628" w:history="1">
        <w:r w:rsidR="000A654C" w:rsidRPr="00520DAC">
          <w:rPr>
            <w:rStyle w:val="a3"/>
            <w:noProof/>
            <w:lang w:bidi="en-US"/>
          </w:rPr>
          <w:t>СПИСОК ИСПОЛЬЗОВАННЫХ ИСТОЧНИКОВ</w:t>
        </w:r>
      </w:hyperlink>
    </w:p>
    <w:p w:rsidR="000A654C" w:rsidRDefault="000A654C" w:rsidP="000A654C">
      <w:pPr>
        <w:pStyle w:val="11"/>
        <w:jc w:val="left"/>
        <w:rPr>
          <w:rStyle w:val="a3"/>
          <w:noProof/>
        </w:rPr>
      </w:pPr>
    </w:p>
    <w:p w:rsidR="000A654C" w:rsidRPr="00307A17" w:rsidRDefault="000A654C" w:rsidP="000A654C">
      <w:pPr>
        <w:tabs>
          <w:tab w:val="left" w:pos="2520"/>
        </w:tabs>
        <w:rPr>
          <w:b/>
          <w:sz w:val="28"/>
          <w:szCs w:val="28"/>
        </w:rPr>
      </w:pPr>
      <w:r>
        <w:rPr>
          <w:rFonts w:ascii="Times New Roman CYR" w:hAnsi="Times New Roman CYR" w:cs="Times New Roman CYR"/>
          <w:sz w:val="28"/>
          <w:szCs w:val="28"/>
        </w:rPr>
        <w:fldChar w:fldCharType="end"/>
      </w:r>
    </w:p>
    <w:p w:rsidR="000A654C" w:rsidRDefault="000A654C">
      <w:pPr>
        <w:spacing w:after="160" w:line="259" w:lineRule="auto"/>
      </w:pPr>
      <w:r>
        <w:br w:type="page"/>
      </w:r>
    </w:p>
    <w:p w:rsidR="000A654C" w:rsidRPr="0012078C" w:rsidRDefault="000A654C" w:rsidP="000A654C">
      <w:pPr>
        <w:pStyle w:val="1"/>
        <w:tabs>
          <w:tab w:val="left" w:pos="851"/>
          <w:tab w:val="left" w:pos="993"/>
        </w:tabs>
        <w:spacing w:before="0" w:after="0"/>
        <w:ind w:firstLine="567"/>
        <w:jc w:val="both"/>
        <w:rPr>
          <w:rFonts w:ascii="Times New Roman" w:hAnsi="Times New Roman" w:cs="Times New Roman"/>
          <w:b w:val="0"/>
          <w:szCs w:val="28"/>
          <w:lang w:val="ru-RU"/>
        </w:rPr>
      </w:pPr>
      <w:bookmarkStart w:id="0" w:name="_Toc449340627"/>
      <w:r w:rsidRPr="0012078C">
        <w:rPr>
          <w:rFonts w:ascii="Times New Roman" w:hAnsi="Times New Roman" w:cs="Times New Roman"/>
          <w:b w:val="0"/>
          <w:szCs w:val="28"/>
          <w:lang w:val="ru-RU"/>
        </w:rPr>
        <w:lastRenderedPageBreak/>
        <w:t>ЗАКЛЮЧЕНИЕ</w:t>
      </w:r>
      <w:bookmarkEnd w:id="0"/>
    </w:p>
    <w:p w:rsidR="000A654C" w:rsidRDefault="000A654C" w:rsidP="000A654C">
      <w:pPr>
        <w:autoSpaceDE w:val="0"/>
        <w:autoSpaceDN w:val="0"/>
        <w:adjustRightInd w:val="0"/>
        <w:ind w:firstLine="567"/>
        <w:jc w:val="both"/>
        <w:rPr>
          <w:rFonts w:ascii="Times New Roman CYR" w:hAnsi="Times New Roman CYR" w:cs="Times New Roman CYR"/>
          <w:smallCaps/>
          <w:sz w:val="28"/>
          <w:szCs w:val="28"/>
        </w:rPr>
      </w:pPr>
    </w:p>
    <w:p w:rsidR="000A654C" w:rsidRDefault="000A654C" w:rsidP="000A654C">
      <w:pPr>
        <w:tabs>
          <w:tab w:val="left" w:pos="993"/>
        </w:tabs>
        <w:ind w:firstLine="567"/>
        <w:jc w:val="both"/>
        <w:rPr>
          <w:rFonts w:eastAsia="Times New Roman"/>
          <w:color w:val="auto"/>
          <w:sz w:val="28"/>
          <w:szCs w:val="28"/>
          <w:lang w:eastAsia="ru-RU" w:bidi="en-US"/>
        </w:rPr>
      </w:pPr>
      <w:r>
        <w:rPr>
          <w:rFonts w:eastAsia="Times New Roman"/>
          <w:color w:val="auto"/>
          <w:sz w:val="28"/>
          <w:szCs w:val="28"/>
          <w:lang w:eastAsia="ru-RU" w:bidi="en-US"/>
        </w:rPr>
        <w:t>Проведенное в дипломной работе исследование позволило сделать следующие выводы:</w:t>
      </w:r>
    </w:p>
    <w:p w:rsidR="000A654C" w:rsidRPr="003F3ED5" w:rsidRDefault="000A654C" w:rsidP="000A654C">
      <w:pPr>
        <w:tabs>
          <w:tab w:val="left" w:pos="993"/>
        </w:tabs>
        <w:ind w:firstLine="567"/>
        <w:jc w:val="both"/>
        <w:rPr>
          <w:rFonts w:eastAsia="Times New Roman"/>
          <w:color w:val="auto"/>
          <w:sz w:val="28"/>
          <w:szCs w:val="28"/>
          <w:lang w:eastAsia="ru-RU" w:bidi="en-US"/>
        </w:rPr>
      </w:pPr>
      <w:r w:rsidRPr="003F3ED5">
        <w:rPr>
          <w:rFonts w:eastAsia="Times New Roman"/>
          <w:color w:val="auto"/>
          <w:sz w:val="28"/>
          <w:szCs w:val="28"/>
          <w:lang w:eastAsia="ru-RU" w:bidi="en-US"/>
        </w:rPr>
        <w:t>Денежные средства предприятий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 переводах в пути и денежных документах. В широком смысле к денежным активам относятся также вложения в легкореализуемые ценные бумаги и требования на получение денежных средств.</w:t>
      </w:r>
    </w:p>
    <w:p w:rsidR="000A654C" w:rsidRPr="003F3ED5" w:rsidRDefault="000A654C" w:rsidP="000A654C">
      <w:pPr>
        <w:tabs>
          <w:tab w:val="left" w:pos="993"/>
        </w:tabs>
        <w:ind w:firstLine="567"/>
        <w:jc w:val="both"/>
        <w:rPr>
          <w:rFonts w:eastAsia="Times New Roman"/>
          <w:color w:val="auto"/>
          <w:sz w:val="28"/>
          <w:szCs w:val="28"/>
          <w:lang w:eastAsia="ru-RU"/>
        </w:rPr>
      </w:pPr>
      <w:r w:rsidRPr="003F3ED5">
        <w:rPr>
          <w:rFonts w:eastAsia="Times New Roman"/>
          <w:color w:val="auto"/>
          <w:sz w:val="28"/>
          <w:szCs w:val="28"/>
          <w:lang w:eastAsia="ru-RU"/>
        </w:rPr>
        <w:t>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движения денежных потоков, чтобы к каждому очередному платежу предприятия по своим обязательствам обеспечивалось поступление денег от покупателей и других дебиторов при сохранении необходимых резервов. Такой подход обеспечивает возможность сохранения повседневной платежеспособности предприятия, извлечения дополнительной прибыли за счет инвестиции появляющихся временно свободных денежных ресурсов без их замораживания. Построение системы эффективного управления денежными потоками невозможно без наличия полной и достоверной бухгалтерской информации о наличии и движении денежных средств организации.</w:t>
      </w:r>
    </w:p>
    <w:p w:rsidR="000A654C" w:rsidRDefault="000A654C">
      <w:pPr>
        <w:spacing w:after="160" w:line="259" w:lineRule="auto"/>
      </w:pPr>
      <w:r>
        <w:br w:type="page"/>
      </w:r>
    </w:p>
    <w:p w:rsidR="000A654C" w:rsidRPr="005F7231" w:rsidRDefault="000A654C" w:rsidP="000A654C">
      <w:pPr>
        <w:pStyle w:val="1"/>
        <w:tabs>
          <w:tab w:val="left" w:pos="851"/>
          <w:tab w:val="left" w:pos="993"/>
        </w:tabs>
        <w:spacing w:before="0" w:after="0"/>
        <w:ind w:firstLine="567"/>
        <w:jc w:val="both"/>
        <w:rPr>
          <w:rFonts w:ascii="Times New Roman" w:hAnsi="Times New Roman" w:cs="Times New Roman"/>
          <w:b w:val="0"/>
          <w:szCs w:val="28"/>
          <w:lang w:val="ru-RU"/>
        </w:rPr>
      </w:pPr>
      <w:bookmarkStart w:id="1" w:name="_Toc326139272"/>
      <w:bookmarkStart w:id="2" w:name="_Toc356816282"/>
      <w:bookmarkStart w:id="3" w:name="_Toc414651676"/>
      <w:bookmarkStart w:id="4" w:name="_Toc449340628"/>
      <w:r w:rsidRPr="005F7231">
        <w:rPr>
          <w:rFonts w:ascii="Times New Roman" w:hAnsi="Times New Roman" w:cs="Times New Roman"/>
          <w:b w:val="0"/>
          <w:szCs w:val="28"/>
          <w:lang w:val="ru-RU"/>
        </w:rPr>
        <w:lastRenderedPageBreak/>
        <w:t>СПИСОК ИСПОЛЬЗОВАННЫХ ИСТОЧНИКОВ</w:t>
      </w:r>
      <w:bookmarkEnd w:id="1"/>
      <w:bookmarkEnd w:id="2"/>
      <w:bookmarkEnd w:id="3"/>
      <w:bookmarkEnd w:id="4"/>
    </w:p>
    <w:p w:rsidR="000A654C" w:rsidRPr="00AB3668" w:rsidRDefault="000A654C" w:rsidP="000A654C">
      <w:pPr>
        <w:tabs>
          <w:tab w:val="left" w:pos="851"/>
          <w:tab w:val="left" w:pos="993"/>
        </w:tabs>
        <w:ind w:firstLine="567"/>
        <w:jc w:val="both"/>
        <w:rPr>
          <w:color w:val="auto"/>
        </w:rPr>
      </w:pPr>
    </w:p>
    <w:p w:rsidR="000A654C" w:rsidRPr="00AB3668" w:rsidRDefault="000A654C" w:rsidP="000A654C">
      <w:pPr>
        <w:tabs>
          <w:tab w:val="left" w:pos="851"/>
          <w:tab w:val="left" w:pos="993"/>
        </w:tabs>
        <w:ind w:firstLine="567"/>
        <w:jc w:val="both"/>
        <w:rPr>
          <w:color w:val="auto"/>
        </w:rPr>
      </w:pPr>
    </w:p>
    <w:p w:rsidR="000A654C" w:rsidRPr="00AB3668" w:rsidRDefault="000A654C" w:rsidP="000A654C">
      <w:pPr>
        <w:pStyle w:val="a4"/>
        <w:numPr>
          <w:ilvl w:val="0"/>
          <w:numId w:val="1"/>
        </w:numPr>
        <w:tabs>
          <w:tab w:val="left" w:pos="1134"/>
        </w:tabs>
        <w:ind w:left="0" w:firstLine="567"/>
        <w:jc w:val="both"/>
        <w:rPr>
          <w:sz w:val="28"/>
          <w:szCs w:val="28"/>
        </w:rPr>
      </w:pPr>
      <w:proofErr w:type="spellStart"/>
      <w:r w:rsidRPr="00AB3668">
        <w:rPr>
          <w:sz w:val="28"/>
          <w:szCs w:val="28"/>
        </w:rPr>
        <w:t>Кунтлеуов</w:t>
      </w:r>
      <w:proofErr w:type="spellEnd"/>
      <w:r w:rsidRPr="00AB3668">
        <w:rPr>
          <w:sz w:val="28"/>
          <w:szCs w:val="28"/>
        </w:rPr>
        <w:t xml:space="preserve"> А., </w:t>
      </w:r>
      <w:proofErr w:type="spellStart"/>
      <w:r w:rsidRPr="00AB3668">
        <w:rPr>
          <w:sz w:val="28"/>
          <w:szCs w:val="28"/>
        </w:rPr>
        <w:t>Саинова</w:t>
      </w:r>
      <w:proofErr w:type="spellEnd"/>
      <w:r w:rsidRPr="00AB3668">
        <w:rPr>
          <w:sz w:val="28"/>
          <w:szCs w:val="28"/>
        </w:rPr>
        <w:t xml:space="preserve"> А. Бухгалтерский учет для начинающего предпринимателя: практическое пособие – Астана: </w:t>
      </w:r>
      <w:proofErr w:type="spellStart"/>
      <w:r w:rsidRPr="00AB3668">
        <w:rPr>
          <w:sz w:val="28"/>
          <w:szCs w:val="28"/>
        </w:rPr>
        <w:t>Алем</w:t>
      </w:r>
      <w:proofErr w:type="spellEnd"/>
      <w:r w:rsidRPr="00AB3668">
        <w:rPr>
          <w:sz w:val="28"/>
          <w:szCs w:val="28"/>
        </w:rPr>
        <w:t xml:space="preserve">, 2011 – 131с. </w:t>
      </w:r>
    </w:p>
    <w:p w:rsidR="000A654C" w:rsidRPr="00AB3668" w:rsidRDefault="000A654C" w:rsidP="000A654C">
      <w:pPr>
        <w:pStyle w:val="a4"/>
        <w:numPr>
          <w:ilvl w:val="0"/>
          <w:numId w:val="1"/>
        </w:numPr>
        <w:tabs>
          <w:tab w:val="left" w:pos="1134"/>
        </w:tabs>
        <w:ind w:left="0" w:firstLine="567"/>
        <w:jc w:val="both"/>
        <w:rPr>
          <w:sz w:val="28"/>
          <w:szCs w:val="28"/>
        </w:rPr>
      </w:pPr>
      <w:proofErr w:type="spellStart"/>
      <w:r w:rsidRPr="00AB3668">
        <w:rPr>
          <w:sz w:val="28"/>
          <w:szCs w:val="28"/>
        </w:rPr>
        <w:t>Мадиева</w:t>
      </w:r>
      <w:proofErr w:type="spellEnd"/>
      <w:r w:rsidRPr="00AB3668">
        <w:rPr>
          <w:sz w:val="28"/>
          <w:szCs w:val="28"/>
        </w:rPr>
        <w:t xml:space="preserve"> К.С. Учебно-методический комплекс по дисциплине «Международный учет». – Караганда, 2009</w:t>
      </w:r>
    </w:p>
    <w:p w:rsidR="000A654C" w:rsidRPr="00AB3668" w:rsidRDefault="000A654C" w:rsidP="000A654C">
      <w:pPr>
        <w:pStyle w:val="a4"/>
        <w:numPr>
          <w:ilvl w:val="0"/>
          <w:numId w:val="1"/>
        </w:numPr>
        <w:tabs>
          <w:tab w:val="left" w:pos="1134"/>
        </w:tabs>
        <w:ind w:left="0" w:firstLine="567"/>
        <w:jc w:val="both"/>
        <w:rPr>
          <w:sz w:val="28"/>
          <w:szCs w:val="28"/>
        </w:rPr>
      </w:pPr>
      <w:proofErr w:type="spellStart"/>
      <w:r w:rsidRPr="00AB3668">
        <w:rPr>
          <w:sz w:val="28"/>
          <w:szCs w:val="28"/>
        </w:rPr>
        <w:t>Радостовец</w:t>
      </w:r>
      <w:proofErr w:type="spellEnd"/>
      <w:r w:rsidRPr="00AB3668">
        <w:rPr>
          <w:sz w:val="28"/>
          <w:szCs w:val="28"/>
        </w:rPr>
        <w:t xml:space="preserve"> В.К., </w:t>
      </w:r>
      <w:proofErr w:type="spellStart"/>
      <w:r w:rsidRPr="00AB3668">
        <w:rPr>
          <w:sz w:val="28"/>
          <w:szCs w:val="28"/>
        </w:rPr>
        <w:t>Радостовец</w:t>
      </w:r>
      <w:proofErr w:type="spellEnd"/>
      <w:r w:rsidRPr="00AB3668">
        <w:rPr>
          <w:sz w:val="28"/>
          <w:szCs w:val="28"/>
        </w:rPr>
        <w:t xml:space="preserve"> В.В., Шмидт О.И. Бухгалтерский учет на предприятии. – А.: </w:t>
      </w:r>
      <w:proofErr w:type="spellStart"/>
      <w:r w:rsidRPr="00AB3668">
        <w:rPr>
          <w:sz w:val="28"/>
          <w:szCs w:val="28"/>
        </w:rPr>
        <w:t>Центраудит</w:t>
      </w:r>
      <w:proofErr w:type="spellEnd"/>
      <w:r w:rsidRPr="00AB3668">
        <w:rPr>
          <w:sz w:val="28"/>
          <w:szCs w:val="28"/>
        </w:rPr>
        <w:t>-Казахстан, 2008.</w:t>
      </w:r>
    </w:p>
    <w:p w:rsidR="000A654C" w:rsidRPr="00AB3668" w:rsidRDefault="000A654C" w:rsidP="000A654C">
      <w:pPr>
        <w:pStyle w:val="a4"/>
        <w:numPr>
          <w:ilvl w:val="0"/>
          <w:numId w:val="1"/>
        </w:numPr>
        <w:tabs>
          <w:tab w:val="left" w:pos="1134"/>
        </w:tabs>
        <w:ind w:left="0" w:firstLine="567"/>
        <w:jc w:val="both"/>
        <w:rPr>
          <w:sz w:val="28"/>
          <w:szCs w:val="28"/>
        </w:rPr>
      </w:pPr>
      <w:proofErr w:type="spellStart"/>
      <w:r w:rsidRPr="00AB3668">
        <w:rPr>
          <w:sz w:val="28"/>
          <w:szCs w:val="28"/>
        </w:rPr>
        <w:t>Нурсеитов</w:t>
      </w:r>
      <w:proofErr w:type="spellEnd"/>
      <w:r w:rsidRPr="00AB3668">
        <w:rPr>
          <w:sz w:val="28"/>
          <w:szCs w:val="28"/>
        </w:rPr>
        <w:t xml:space="preserve"> Э.О. Бу</w:t>
      </w:r>
      <w:bookmarkStart w:id="5" w:name="_GoBack"/>
      <w:bookmarkEnd w:id="5"/>
      <w:r w:rsidRPr="00AB3668">
        <w:rPr>
          <w:sz w:val="28"/>
          <w:szCs w:val="28"/>
        </w:rPr>
        <w:t>хгалтерский учет в организациях/Учебное пособие. – Алматы: Издательство «LEM», 2009 – 472 с.</w:t>
      </w:r>
    </w:p>
    <w:p w:rsidR="000A654C" w:rsidRPr="00AB3668" w:rsidRDefault="000A654C" w:rsidP="000A654C">
      <w:pPr>
        <w:pStyle w:val="a4"/>
        <w:numPr>
          <w:ilvl w:val="0"/>
          <w:numId w:val="1"/>
        </w:numPr>
        <w:tabs>
          <w:tab w:val="left" w:pos="1134"/>
        </w:tabs>
        <w:ind w:left="0" w:firstLine="567"/>
        <w:jc w:val="both"/>
        <w:rPr>
          <w:sz w:val="28"/>
          <w:szCs w:val="28"/>
        </w:rPr>
      </w:pPr>
      <w:r w:rsidRPr="00AB3668">
        <w:rPr>
          <w:sz w:val="28"/>
          <w:szCs w:val="28"/>
        </w:rPr>
        <w:t>Иванова Т. Учет наличных денежных средств// Журнал «Файл Бухгалтера». - №34. – 2013. – С.7</w:t>
      </w:r>
    </w:p>
    <w:p w:rsidR="00FE4477" w:rsidRDefault="00931F66"/>
    <w:sectPr w:rsidR="00FE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56A"/>
    <w:multiLevelType w:val="hybridMultilevel"/>
    <w:tmpl w:val="DA80FC34"/>
    <w:lvl w:ilvl="0" w:tplc="A38A60A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1C"/>
    <w:rsid w:val="000A654C"/>
    <w:rsid w:val="00704E55"/>
    <w:rsid w:val="0086181C"/>
    <w:rsid w:val="00931F66"/>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FA2"/>
  <w15:chartTrackingRefBased/>
  <w15:docId w15:val="{8A045BCB-0304-44E8-8AA1-3AD3C494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4C"/>
    <w:pPr>
      <w:spacing w:after="0" w:line="240" w:lineRule="auto"/>
    </w:pPr>
    <w:rPr>
      <w:rFonts w:ascii="Times New Roman" w:hAnsi="Times New Roman" w:cs="Times New Roman"/>
      <w:color w:val="000000"/>
    </w:rPr>
  </w:style>
  <w:style w:type="paragraph" w:styleId="1">
    <w:name w:val="heading 1"/>
    <w:basedOn w:val="a"/>
    <w:next w:val="a"/>
    <w:link w:val="10"/>
    <w:qFormat/>
    <w:rsid w:val="000A654C"/>
    <w:pPr>
      <w:keepNext/>
      <w:spacing w:before="240" w:after="60"/>
      <w:jc w:val="center"/>
      <w:outlineLvl w:val="0"/>
    </w:pPr>
    <w:rPr>
      <w:rFonts w:asciiTheme="majorHAnsi" w:eastAsiaTheme="majorEastAsia" w:hAnsiTheme="majorHAnsi" w:cstheme="majorBidi"/>
      <w:b/>
      <w:bCs/>
      <w:color w:val="auto"/>
      <w:kern w:val="32"/>
      <w:sz w:val="28"/>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0A654C"/>
    <w:pPr>
      <w:tabs>
        <w:tab w:val="right" w:leader="dot" w:pos="9345"/>
      </w:tabs>
      <w:jc w:val="both"/>
    </w:pPr>
    <w:rPr>
      <w:kern w:val="28"/>
      <w:sz w:val="28"/>
      <w:szCs w:val="28"/>
    </w:rPr>
  </w:style>
  <w:style w:type="character" w:styleId="a3">
    <w:name w:val="Hyperlink"/>
    <w:basedOn w:val="a0"/>
    <w:uiPriority w:val="99"/>
    <w:unhideWhenUsed/>
    <w:rsid w:val="000A654C"/>
    <w:rPr>
      <w:color w:val="0563C1" w:themeColor="hyperlink"/>
      <w:u w:val="single"/>
    </w:rPr>
  </w:style>
  <w:style w:type="character" w:customStyle="1" w:styleId="10">
    <w:name w:val="Заголовок 1 Знак"/>
    <w:basedOn w:val="a0"/>
    <w:link w:val="1"/>
    <w:rsid w:val="000A654C"/>
    <w:rPr>
      <w:rFonts w:asciiTheme="majorHAnsi" w:eastAsiaTheme="majorEastAsia" w:hAnsiTheme="majorHAnsi" w:cstheme="majorBidi"/>
      <w:b/>
      <w:bCs/>
      <w:kern w:val="32"/>
      <w:sz w:val="28"/>
      <w:szCs w:val="32"/>
      <w:lang w:val="en-US" w:bidi="en-US"/>
    </w:rPr>
  </w:style>
  <w:style w:type="paragraph" w:styleId="a4">
    <w:name w:val="List Paragraph"/>
    <w:basedOn w:val="a"/>
    <w:uiPriority w:val="99"/>
    <w:qFormat/>
    <w:rsid w:val="000A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488</Words>
  <Characters>2785</Characters>
  <Application>Microsoft Office Word</Application>
  <DocSecurity>0</DocSecurity>
  <Lines>23</Lines>
  <Paragraphs>6</Paragraphs>
  <ScaleCrop>false</ScaleCrop>
  <Company>SPecialiST RePack</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2017-03-15T10:37:00Z</dcterms:created>
  <dcterms:modified xsi:type="dcterms:W3CDTF">2017-04-12T11:24:00Z</dcterms:modified>
</cp:coreProperties>
</file>