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74" w:rsidRDefault="00366E74" w:rsidP="00366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28"/>
          <w:szCs w:val="28"/>
          <w:lang w:eastAsia="ru-RU"/>
        </w:rPr>
      </w:pPr>
      <w:r w:rsidRPr="00366E74">
        <w:rPr>
          <w:rFonts w:ascii="Times New Roman" w:eastAsia="TimesNewRomanPSMT" w:hAnsi="Times New Roman" w:cs="Times New Roman"/>
          <w:bCs/>
          <w:sz w:val="28"/>
          <w:szCs w:val="28"/>
          <w:lang w:eastAsia="ru-RU"/>
        </w:rPr>
        <w:t>Др_</w:t>
      </w:r>
      <w:r w:rsidRPr="00366E74">
        <w:rPr>
          <w:rFonts w:ascii="Times New Roman" w:eastAsia="TimesNewRomanPSMT" w:hAnsi="Times New Roman" w:cs="Times New Roman"/>
          <w:bCs/>
          <w:sz w:val="28"/>
          <w:szCs w:val="28"/>
          <w:lang w:eastAsia="ru-RU"/>
        </w:rPr>
        <w:t>Учет поступления товарно-материальных ценностей и расчетов с поставщиками</w:t>
      </w:r>
    </w:p>
    <w:p w:rsidR="00366E74" w:rsidRDefault="00366E74" w:rsidP="00366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ru-RU"/>
        </w:rPr>
        <w:t>Стр-67</w:t>
      </w:r>
    </w:p>
    <w:sdt>
      <w:sdtPr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eastAsia="en-US"/>
        </w:rPr>
        <w:id w:val="351843550"/>
      </w:sdtPr>
      <w:sdtEndPr>
        <w:rPr>
          <w:bCs/>
        </w:rPr>
      </w:sdtEndPr>
      <w:sdtContent>
        <w:p w:rsidR="00366E74" w:rsidRPr="00BC129D" w:rsidRDefault="00366E74" w:rsidP="00366E74">
          <w:pPr>
            <w:pStyle w:val="a3"/>
            <w:ind w:right="567" w:firstLine="0"/>
            <w:rPr>
              <w:rFonts w:cs="Times New Roman"/>
              <w:szCs w:val="28"/>
            </w:rPr>
          </w:pPr>
        </w:p>
        <w:p w:rsidR="00366E74" w:rsidRPr="00BC129D" w:rsidRDefault="00366E74" w:rsidP="00366E74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C129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C129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C129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3931706" w:history="1">
            <w:r w:rsidRPr="00BC129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366E74" w:rsidRPr="00BC129D" w:rsidRDefault="00366E74" w:rsidP="00366E74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931707" w:history="1">
            <w:r w:rsidRPr="00BC129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Товарно-материальные ценности и расчеты с поставщиками-как объект учета и анализа</w:t>
            </w:r>
          </w:hyperlink>
        </w:p>
        <w:p w:rsidR="00366E74" w:rsidRPr="00BC129D" w:rsidRDefault="00366E74" w:rsidP="00366E74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931708" w:history="1">
            <w:r w:rsidRPr="00BC129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Общая характеристика учетной политики ТОО «» в области учета товарно-материальных ценностей и расчетов с поставщиками</w:t>
            </w:r>
          </w:hyperlink>
        </w:p>
        <w:p w:rsidR="00366E74" w:rsidRPr="00BC129D" w:rsidRDefault="00366E74" w:rsidP="00366E74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931709" w:history="1">
            <w:r w:rsidRPr="00BC129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Понятие о товарно-материальных ценностях предприятия и их классификация</w:t>
            </w:r>
          </w:hyperlink>
        </w:p>
        <w:p w:rsidR="00366E74" w:rsidRPr="00BC129D" w:rsidRDefault="00366E74" w:rsidP="00366E74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931710" w:history="1">
            <w:r w:rsidRPr="00BC129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Сущность и формы расчетов с поставщиками, их место в обязательствах предприятия</w:t>
            </w:r>
          </w:hyperlink>
        </w:p>
        <w:p w:rsidR="00366E74" w:rsidRPr="00BC129D" w:rsidRDefault="00366E74" w:rsidP="00366E74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931711" w:history="1">
            <w:r w:rsidRPr="00BC129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2 Обзор действующей практики учета поступления товарно-материальных ценностей предприятия и расчетов с поставщиками в ТОО </w:t>
            </w:r>
          </w:hyperlink>
          <w:r w:rsidRPr="00BC129D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366E74" w:rsidRPr="00BC129D" w:rsidRDefault="00366E74" w:rsidP="00366E74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931712" w:history="1">
            <w:r w:rsidRPr="00BC129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Организация и постановка учета поступления ценностей и расчетов с поставщиками</w:t>
            </w:r>
          </w:hyperlink>
        </w:p>
        <w:p w:rsidR="00366E74" w:rsidRPr="00BC129D" w:rsidRDefault="00366E74" w:rsidP="00366E74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931713" w:history="1">
            <w:r w:rsidRPr="00BC129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Оценка товарно-материальных ценностей и методы учета кредиторской задолженности поставщиков</w:t>
            </w:r>
          </w:hyperlink>
        </w:p>
        <w:p w:rsidR="00366E74" w:rsidRPr="00BC129D" w:rsidRDefault="00366E74" w:rsidP="00366E74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931714" w:history="1">
            <w:r w:rsidRPr="00BC129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Учет поступления товарно-материальных ценностей на склад предприятия</w:t>
            </w:r>
          </w:hyperlink>
        </w:p>
        <w:p w:rsidR="00366E74" w:rsidRPr="00BC129D" w:rsidRDefault="00366E74" w:rsidP="00366E74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931715" w:history="1">
            <w:r w:rsidRPr="00BC129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2.4 Учет товарно-материальных ценностей в бухгалтерии</w:t>
            </w:r>
          </w:hyperlink>
        </w:p>
        <w:p w:rsidR="00366E74" w:rsidRPr="00BC129D" w:rsidRDefault="00366E74" w:rsidP="00366E74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931716" w:history="1">
            <w:r w:rsidRPr="00BC129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 Повышение эффективности учета товарно-материальных ценностей и кредиторской задолженности с поставщиками предприятия</w:t>
            </w:r>
          </w:hyperlink>
        </w:p>
        <w:p w:rsidR="00366E74" w:rsidRPr="00BC129D" w:rsidRDefault="00366E74" w:rsidP="00366E74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931717" w:history="1">
            <w:r w:rsidRPr="00BC129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3.1 Анализ товарно-материальных ценностей предприятия</w:t>
            </w:r>
          </w:hyperlink>
        </w:p>
        <w:p w:rsidR="00366E74" w:rsidRPr="00BC129D" w:rsidRDefault="00366E74" w:rsidP="00366E74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931718" w:history="1">
            <w:r w:rsidRPr="00BC129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3.2 Рекомендации по повышению эффективности учета товарно-материальных ценностей предприятия</w:t>
            </w:r>
          </w:hyperlink>
        </w:p>
        <w:p w:rsidR="00366E74" w:rsidRPr="00BC129D" w:rsidRDefault="00366E74" w:rsidP="00366E74">
          <w:pPr>
            <w:pStyle w:val="2"/>
            <w:tabs>
              <w:tab w:val="right" w:leader="dot" w:pos="9628"/>
            </w:tabs>
            <w:spacing w:after="0" w:line="24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931719" w:history="1">
            <w:r w:rsidRPr="00BC129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3.3 Внедрение системы внутреннего контроля за состоянием расчетов с поставщиками предприятия</w:t>
            </w:r>
          </w:hyperlink>
        </w:p>
        <w:p w:rsidR="00366E74" w:rsidRPr="00BC129D" w:rsidRDefault="00366E74" w:rsidP="00366E74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931720" w:history="1">
            <w:r w:rsidRPr="00BC129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366E74" w:rsidRPr="00BC129D" w:rsidRDefault="00366E74" w:rsidP="00366E74">
          <w:pPr>
            <w:pStyle w:val="11"/>
            <w:tabs>
              <w:tab w:val="right" w:leader="dot" w:pos="9628"/>
            </w:tabs>
            <w:spacing w:after="0" w:line="24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931721" w:history="1">
            <w:r w:rsidRPr="00BC129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366E74" w:rsidRDefault="00366E74" w:rsidP="00366E74">
          <w:pPr>
            <w:spacing w:after="0" w:line="240" w:lineRule="auto"/>
            <w:ind w:right="567"/>
          </w:pPr>
          <w:r w:rsidRPr="00BC129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66E74" w:rsidRPr="00366E74" w:rsidRDefault="00366E74" w:rsidP="00366E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Cs/>
          <w:sz w:val="28"/>
          <w:szCs w:val="28"/>
          <w:lang w:eastAsia="ru-RU"/>
        </w:rPr>
      </w:pPr>
    </w:p>
    <w:p w:rsidR="00366E74" w:rsidRDefault="00366E74">
      <w:r>
        <w:br w:type="page"/>
      </w:r>
    </w:p>
    <w:p w:rsidR="00366E74" w:rsidRPr="00366E74" w:rsidRDefault="00366E74" w:rsidP="00366E74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32"/>
        </w:rPr>
      </w:pPr>
      <w:bookmarkStart w:id="0" w:name="_Toc513930685"/>
      <w:bookmarkStart w:id="1" w:name="_Toc513931720"/>
      <w:r w:rsidRPr="00366E74">
        <w:rPr>
          <w:rFonts w:ascii="Times New Roman" w:eastAsia="Times New Roman" w:hAnsi="Times New Roman" w:cs="Times New Roman"/>
          <w:b/>
          <w:caps/>
          <w:sz w:val="28"/>
          <w:szCs w:val="32"/>
        </w:rPr>
        <w:lastRenderedPageBreak/>
        <w:t>Заключение</w:t>
      </w:r>
      <w:bookmarkEnd w:id="0"/>
      <w:bookmarkEnd w:id="1"/>
    </w:p>
    <w:p w:rsidR="00366E74" w:rsidRPr="00366E74" w:rsidRDefault="00366E74" w:rsidP="00366E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6E74" w:rsidRPr="00366E74" w:rsidRDefault="00366E74" w:rsidP="00366E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E7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поставленной целью, в дипломной работе были изучены теоретические и практические аспекты учета и анализа поступления товарно-материальных ценностей и расчетов с поставщиками </w:t>
      </w:r>
      <w:r>
        <w:rPr>
          <w:rFonts w:ascii="Times New Roman" w:eastAsia="Calibri" w:hAnsi="Times New Roman" w:cs="Times New Roman"/>
          <w:sz w:val="28"/>
          <w:szCs w:val="28"/>
        </w:rPr>
        <w:t>на предприятии</w:t>
      </w:r>
      <w:r w:rsidRPr="00366E7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66E74" w:rsidRPr="00366E74" w:rsidRDefault="00366E74" w:rsidP="00366E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E74">
        <w:rPr>
          <w:rFonts w:ascii="Times New Roman" w:eastAsia="Calibri" w:hAnsi="Times New Roman" w:cs="Times New Roman"/>
          <w:sz w:val="28"/>
          <w:szCs w:val="28"/>
        </w:rPr>
        <w:t>В первой главе дипломной работы были рассмотрены теоретические основы товарно-материальных ценностей и расчетов с поставщиками как объекты учета на предприятии. В результате проведенного исследования можно сделать следующие выводы:</w:t>
      </w:r>
    </w:p>
    <w:p w:rsidR="00366E74" w:rsidRPr="00366E74" w:rsidRDefault="00366E74" w:rsidP="00366E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товарно-материальные ценности представляют собой один из важнейших факторов обеспечения постоянства и непрерывности технологического процесса у предприятий. Это обусловлено тем, что непрерывность и нормальная ритмичность производства требует, чтобы у предприятия постоянно находилось на складах достаточное количество сырья и материалов, для полного удовлетворения потребностей производства в любой момент их использования. Поэтому необходимость бесперебойного снабжения производства в условиях непрерывности спроса и дискретности поставок, обуславливает создание на предприятиях необходимого количества товарно-материальных запасов.</w:t>
      </w:r>
    </w:p>
    <w:p w:rsidR="00366E74" w:rsidRDefault="00366E74">
      <w:r>
        <w:br w:type="page"/>
      </w:r>
    </w:p>
    <w:p w:rsidR="00366E74" w:rsidRPr="00366E74" w:rsidRDefault="00366E74" w:rsidP="00366E74">
      <w:pPr>
        <w:pStyle w:val="1"/>
        <w:rPr>
          <w:rFonts w:ascii="Times New Roman" w:hAnsi="Times New Roman" w:cs="Times New Roman"/>
          <w:color w:val="auto"/>
        </w:rPr>
      </w:pPr>
      <w:bookmarkStart w:id="2" w:name="_Toc513930686"/>
      <w:bookmarkStart w:id="3" w:name="_Toc513931721"/>
      <w:r w:rsidRPr="00366E74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2"/>
      <w:bookmarkEnd w:id="3"/>
    </w:p>
    <w:p w:rsidR="00366E74" w:rsidRPr="00366E74" w:rsidRDefault="00366E74" w:rsidP="00366E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6E74" w:rsidRPr="00366E74" w:rsidRDefault="00366E74" w:rsidP="00366E74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Послание Президента Республики Казахстан Нурсултана Назарбаева народу Казахстана «Новые возможности развития в условиях четвертой промышленной революции» от 10.01.2018 г. </w:t>
      </w:r>
    </w:p>
    <w:p w:rsidR="00366E74" w:rsidRPr="00366E74" w:rsidRDefault="00366E74" w:rsidP="00366E74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6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Гражданский Кодекс Республики Казахстан (Общая часть), принят Верховным Советом Республики Казахстан 27 декабря 1994 года (с </w:t>
      </w:r>
      <w:hyperlink r:id="rId5" w:tgtFrame="_parent" w:tooltip="СПРАВКА О ГРАЖДАНСКОМ КОДЕКСЕ РК ОТ 27.12.94" w:history="1">
        <w:r w:rsidRPr="00366E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изменениями и дополнениями</w:t>
        </w:r>
      </w:hyperlink>
      <w:r w:rsidRPr="00366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на 21.04.2016 г.)</w:t>
      </w:r>
    </w:p>
    <w:p w:rsidR="00366E74" w:rsidRPr="00366E74" w:rsidRDefault="00366E74" w:rsidP="00366E74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66E74">
        <w:rPr>
          <w:rFonts w:ascii="Times New Roman" w:hAnsi="Times New Roman" w:cs="Times New Roman"/>
          <w:sz w:val="28"/>
          <w:szCs w:val="28"/>
        </w:rPr>
        <w:t>О бухгалтерском учете и финансовой отчетности. Закон Республики Казахстан от 28 февраля 2007, №234-III (с изменениями и дополнениями по состоянию на 28.12.2016 года)</w:t>
      </w:r>
    </w:p>
    <w:p w:rsidR="00366E74" w:rsidRPr="00366E74" w:rsidRDefault="00366E74" w:rsidP="00366E74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66E74">
        <w:rPr>
          <w:rFonts w:ascii="Times New Roman" w:hAnsi="Times New Roman" w:cs="Times New Roman"/>
          <w:color w:val="000000" w:themeColor="text1"/>
          <w:sz w:val="28"/>
          <w:szCs w:val="28"/>
        </w:rPr>
        <w:t>Кодекс Республики Казахстан от 25 декабря 2017 года № 120-VI «О налогах и других обязательных платежах в бюджет (Налоговый кодекс)»</w:t>
      </w:r>
    </w:p>
    <w:p w:rsidR="00366E74" w:rsidRPr="00366E74" w:rsidRDefault="00366E74" w:rsidP="00366E74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66E74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 стандарт финансовой отчетности (IAS) 1 «Представление финансовой отчетности» от 07.11.2012</w:t>
      </w:r>
    </w:p>
    <w:p w:rsidR="007933D1" w:rsidRDefault="007933D1">
      <w:bookmarkStart w:id="4" w:name="_GoBack"/>
      <w:bookmarkEnd w:id="4"/>
    </w:p>
    <w:sectPr w:rsidR="0079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611EE"/>
    <w:multiLevelType w:val="hybridMultilevel"/>
    <w:tmpl w:val="2206AF68"/>
    <w:lvl w:ilvl="0" w:tplc="7E004EE8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40"/>
    <w:rsid w:val="00366E74"/>
    <w:rsid w:val="007933D1"/>
    <w:rsid w:val="008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39FE"/>
  <w15:chartTrackingRefBased/>
  <w15:docId w15:val="{4444A601-D35B-4FFE-887A-4E3F3005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74"/>
  </w:style>
  <w:style w:type="paragraph" w:styleId="1">
    <w:name w:val="heading 1"/>
    <w:basedOn w:val="a"/>
    <w:next w:val="a"/>
    <w:link w:val="10"/>
    <w:uiPriority w:val="9"/>
    <w:qFormat/>
    <w:rsid w:val="00366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E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366E74"/>
    <w:pPr>
      <w:spacing w:before="0" w:line="240" w:lineRule="auto"/>
      <w:ind w:firstLine="709"/>
      <w:jc w:val="both"/>
      <w:outlineLvl w:val="9"/>
    </w:pPr>
    <w:rPr>
      <w:rFonts w:ascii="Times New Roman" w:hAnsi="Times New Roman"/>
      <w:b/>
      <w:caps/>
      <w:color w:val="auto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6E74"/>
    <w:pPr>
      <w:spacing w:after="100"/>
    </w:pPr>
  </w:style>
  <w:style w:type="character" w:styleId="a4">
    <w:name w:val="Hyperlink"/>
    <w:basedOn w:val="a0"/>
    <w:uiPriority w:val="99"/>
    <w:unhideWhenUsed/>
    <w:rsid w:val="00366E74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366E74"/>
    <w:pPr>
      <w:spacing w:after="100"/>
      <w:ind w:left="220"/>
    </w:pPr>
  </w:style>
  <w:style w:type="paragraph" w:styleId="a5">
    <w:name w:val="List Paragraph"/>
    <w:basedOn w:val="a"/>
    <w:uiPriority w:val="34"/>
    <w:qFormat/>
    <w:rsid w:val="0036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link_id=10003742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3290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2018-10-22T07:07:00Z</dcterms:created>
  <dcterms:modified xsi:type="dcterms:W3CDTF">2018-10-22T07:11:00Z</dcterms:modified>
</cp:coreProperties>
</file>