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B1" w:rsidRPr="008B54B1" w:rsidRDefault="008B54B1" w:rsidP="008B54B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B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Дипломная работа</w:t>
      </w:r>
    </w:p>
    <w:p w:rsidR="00D76195" w:rsidRDefault="008B54B1" w:rsidP="008B54B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B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узнаваемости бренда на покупательские намерения потребителей. Случай категорий продуктов с низкой и высокой вовлеченностью</w:t>
      </w:r>
    </w:p>
    <w:p w:rsidR="008B54B1" w:rsidRDefault="008B54B1" w:rsidP="008B54B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Стр_63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64"/>
        <w:gridCol w:w="681"/>
      </w:tblGrid>
      <w:tr w:rsidR="008B54B1" w:rsidRPr="008B54B1" w:rsidTr="00680533">
        <w:tc>
          <w:tcPr>
            <w:tcW w:w="89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B54B1" w:rsidRPr="008B54B1" w:rsidRDefault="008B54B1" w:rsidP="00680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4B1" w:rsidRPr="008B54B1" w:rsidRDefault="008B54B1" w:rsidP="00680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4B1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  <w:p w:rsidR="008B54B1" w:rsidRPr="008B54B1" w:rsidRDefault="008B54B1" w:rsidP="00680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4B1">
              <w:rPr>
                <w:rFonts w:ascii="Times New Roman" w:hAnsi="Times New Roman" w:cs="Times New Roman"/>
                <w:sz w:val="28"/>
                <w:szCs w:val="28"/>
              </w:rPr>
              <w:t>1 Теоретические аспекты узнаваемости бренда и покупательских намерений потребителей</w:t>
            </w:r>
          </w:p>
          <w:p w:rsidR="008B54B1" w:rsidRPr="008B54B1" w:rsidRDefault="008B54B1" w:rsidP="00680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4B1">
              <w:rPr>
                <w:rFonts w:ascii="Times New Roman" w:hAnsi="Times New Roman" w:cs="Times New Roman"/>
                <w:sz w:val="28"/>
                <w:szCs w:val="28"/>
              </w:rPr>
              <w:t>1.1 Понятие узнаваемости бренда и лояльности к бренду</w:t>
            </w:r>
          </w:p>
          <w:p w:rsidR="008B54B1" w:rsidRPr="008B54B1" w:rsidRDefault="008B54B1" w:rsidP="00680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4B1">
              <w:rPr>
                <w:rFonts w:ascii="Times New Roman" w:hAnsi="Times New Roman" w:cs="Times New Roman"/>
                <w:sz w:val="28"/>
                <w:szCs w:val="28"/>
              </w:rPr>
              <w:t>1.2 Концепция покупательских намерений потребителей и влияния на них узнаваемости бренда</w:t>
            </w:r>
          </w:p>
          <w:p w:rsidR="008B54B1" w:rsidRPr="008B54B1" w:rsidRDefault="008B54B1" w:rsidP="00680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4B1">
              <w:rPr>
                <w:rFonts w:ascii="Times New Roman" w:hAnsi="Times New Roman" w:cs="Times New Roman"/>
                <w:sz w:val="28"/>
                <w:szCs w:val="28"/>
              </w:rPr>
              <w:t>1.3 Характеристика продуктов с низкой и высокой вовлеченностью</w:t>
            </w:r>
          </w:p>
          <w:p w:rsidR="008B54B1" w:rsidRPr="008B54B1" w:rsidRDefault="008B54B1" w:rsidP="00680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4B1">
              <w:rPr>
                <w:rFonts w:ascii="Times New Roman" w:hAnsi="Times New Roman" w:cs="Times New Roman"/>
                <w:sz w:val="28"/>
                <w:szCs w:val="28"/>
              </w:rPr>
              <w:t xml:space="preserve">2 Анализ бренда и покупательских намерений ТОО </w:t>
            </w:r>
          </w:p>
          <w:p w:rsidR="008B54B1" w:rsidRPr="008B54B1" w:rsidRDefault="008B54B1" w:rsidP="00680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4B1">
              <w:rPr>
                <w:rFonts w:ascii="Times New Roman" w:hAnsi="Times New Roman" w:cs="Times New Roman"/>
                <w:sz w:val="28"/>
                <w:szCs w:val="28"/>
              </w:rPr>
              <w:t xml:space="preserve">2.1 Организационно-экономическая характеристика ТОО </w:t>
            </w:r>
          </w:p>
          <w:p w:rsidR="008B54B1" w:rsidRPr="008B54B1" w:rsidRDefault="008B54B1" w:rsidP="00680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4B1">
              <w:rPr>
                <w:rFonts w:ascii="Times New Roman" w:hAnsi="Times New Roman" w:cs="Times New Roman"/>
                <w:sz w:val="28"/>
                <w:szCs w:val="28"/>
              </w:rPr>
              <w:t xml:space="preserve">2.2 Анализ бренда, конкурентов, SWOT и PEST-анализ ТОО </w:t>
            </w:r>
          </w:p>
          <w:p w:rsidR="008B54B1" w:rsidRPr="008B54B1" w:rsidRDefault="008B54B1" w:rsidP="00680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4B1">
              <w:rPr>
                <w:rFonts w:ascii="Times New Roman" w:hAnsi="Times New Roman" w:cs="Times New Roman"/>
                <w:sz w:val="28"/>
                <w:szCs w:val="28"/>
              </w:rPr>
              <w:t>2.3 Анализ услуг компании ТОО на предмет вовлеченности потребителей</w:t>
            </w:r>
          </w:p>
          <w:p w:rsidR="008B54B1" w:rsidRPr="008B54B1" w:rsidRDefault="008B54B1" w:rsidP="00680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4B1">
              <w:rPr>
                <w:rFonts w:ascii="Times New Roman" w:hAnsi="Times New Roman" w:cs="Times New Roman"/>
                <w:sz w:val="28"/>
                <w:szCs w:val="28"/>
              </w:rPr>
              <w:t xml:space="preserve">3 Рекомендации по повышению узнаваемости бренда и вовлеченности потребителей ТОО </w:t>
            </w:r>
          </w:p>
          <w:p w:rsidR="008B54B1" w:rsidRPr="008B54B1" w:rsidRDefault="008B54B1" w:rsidP="00680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4B1">
              <w:rPr>
                <w:rFonts w:ascii="Times New Roman" w:hAnsi="Times New Roman" w:cs="Times New Roman"/>
                <w:sz w:val="28"/>
                <w:szCs w:val="28"/>
              </w:rPr>
              <w:t xml:space="preserve">3.1 Пути повышения узнаваемости бренда ТОО </w:t>
            </w:r>
          </w:p>
          <w:p w:rsidR="008B54B1" w:rsidRPr="008B54B1" w:rsidRDefault="008B54B1" w:rsidP="00680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4B1">
              <w:rPr>
                <w:rFonts w:ascii="Times New Roman" w:hAnsi="Times New Roman" w:cs="Times New Roman"/>
                <w:sz w:val="28"/>
                <w:szCs w:val="28"/>
              </w:rPr>
              <w:t xml:space="preserve">3.2 Меры увеличения уровня вовлеченности потребителей ТОО </w:t>
            </w:r>
          </w:p>
          <w:p w:rsidR="008B54B1" w:rsidRPr="008B54B1" w:rsidRDefault="008B54B1" w:rsidP="00680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4B1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8B54B1" w:rsidRDefault="008B54B1" w:rsidP="00680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4B1"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</w:p>
          <w:p w:rsidR="008B54B1" w:rsidRDefault="008B54B1" w:rsidP="00680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4B1" w:rsidRDefault="008B54B1" w:rsidP="00680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4B1" w:rsidRDefault="008B54B1" w:rsidP="00680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4B1" w:rsidRDefault="008B54B1" w:rsidP="00680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4B1" w:rsidRDefault="008B54B1" w:rsidP="00680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4B1" w:rsidRDefault="008B54B1" w:rsidP="00680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4B1" w:rsidRDefault="008B54B1" w:rsidP="00680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4B1" w:rsidRDefault="008B54B1" w:rsidP="00680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4B1" w:rsidRDefault="008B54B1" w:rsidP="00680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4B1" w:rsidRDefault="008B54B1" w:rsidP="00680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4B1" w:rsidRDefault="008B54B1" w:rsidP="00680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4B1" w:rsidRDefault="008B54B1" w:rsidP="00680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4B1" w:rsidRDefault="008B54B1" w:rsidP="00680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4B1" w:rsidRDefault="008B54B1" w:rsidP="00680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4B1" w:rsidRDefault="008B54B1" w:rsidP="00680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4B1" w:rsidRDefault="008B54B1" w:rsidP="00680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4B1" w:rsidRDefault="008B54B1" w:rsidP="00680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4B1" w:rsidRDefault="008B54B1" w:rsidP="00680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4B1" w:rsidRDefault="008B54B1" w:rsidP="00680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4B1" w:rsidRDefault="008B54B1" w:rsidP="00680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4B1" w:rsidRPr="00336C48" w:rsidRDefault="008B54B1" w:rsidP="008B54B1">
            <w:pPr>
              <w:pStyle w:val="1"/>
              <w:spacing w:before="0"/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bookmarkStart w:id="0" w:name="_Toc104374384"/>
            <w:r w:rsidRPr="008B54B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lastRenderedPageBreak/>
              <w:t>ЗАКЛЮЧЕНИЕ</w:t>
            </w:r>
            <w:bookmarkEnd w:id="0"/>
          </w:p>
          <w:p w:rsidR="008B54B1" w:rsidRPr="00336C48" w:rsidRDefault="008B54B1" w:rsidP="008B54B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4B1" w:rsidRPr="00336C48" w:rsidRDefault="008B54B1" w:rsidP="008B54B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48">
              <w:rPr>
                <w:rFonts w:ascii="Times New Roman" w:hAnsi="Times New Roman" w:cs="Times New Roman"/>
                <w:sz w:val="28"/>
                <w:szCs w:val="28"/>
              </w:rPr>
              <w:t>Узнаваемость бренда – это то, как целевая аудитория распознает бренд. Эта концепция включает в себя легко запоминающееся название бренда, фирменные цвета, логотипы и символы. То есть, узнаваемость бренда связана с визуальной идентичностью бренда. Суть повышения узнаваемости бренда – увеличение трафика на разные каналы: социальные сети, сайт, блог и т. д. Если компания испытывает трудности с привлечением или удержанием желаемой аудитории, возможно, стоит внести некоторые изменения.</w:t>
            </w:r>
          </w:p>
          <w:p w:rsidR="008B54B1" w:rsidRPr="00336C48" w:rsidRDefault="008B54B1" w:rsidP="008B54B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48">
              <w:rPr>
                <w:rFonts w:ascii="Times New Roman" w:hAnsi="Times New Roman" w:cs="Times New Roman"/>
                <w:sz w:val="28"/>
                <w:szCs w:val="28"/>
              </w:rPr>
              <w:t>Прогнозировать поведение клиентов - значит уловить их намерения раньше конкурентов, а затем завладеть их вниманием и обратить его на свои продукты. А для этого бизнесу необходимы как инструменты анализа поведения, так и система оперативной реакции на распространенные сигналы от клиентов, такие как подписка на получение купонов или вопросы о продукте в социальных сетях. Намерение покупки – это готовность клиента купить определенный продукт или определенную услугу. Намерение совершить покупку является зависимой переменной, которая зависит от нескольких внешних и внутренних факторов.</w:t>
            </w:r>
          </w:p>
          <w:p w:rsidR="008B54B1" w:rsidRPr="008B54B1" w:rsidRDefault="008B54B1" w:rsidP="00680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4B1" w:rsidRPr="008B54B1" w:rsidRDefault="008B54B1" w:rsidP="008B5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B54B1" w:rsidRPr="008B54B1" w:rsidRDefault="008B54B1" w:rsidP="00680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54B1" w:rsidRDefault="008B54B1" w:rsidP="008B54B1">
      <w:pPr>
        <w:rPr>
          <w:sz w:val="28"/>
          <w:szCs w:val="28"/>
        </w:rPr>
      </w:pPr>
    </w:p>
    <w:p w:rsidR="008B54B1" w:rsidRDefault="008B54B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B54B1" w:rsidRPr="00336C48" w:rsidRDefault="008B54B1" w:rsidP="008B54B1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104374385"/>
      <w:bookmarkStart w:id="2" w:name="_GoBack"/>
      <w:bookmarkEnd w:id="2"/>
      <w:r w:rsidRPr="008B54B1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СПИСОК ИСПОЛЬЗОВАННЫХ ИСТОЧНИКОВ</w:t>
      </w:r>
      <w:bookmarkEnd w:id="1"/>
    </w:p>
    <w:p w:rsidR="008B54B1" w:rsidRPr="00336C48" w:rsidRDefault="008B54B1" w:rsidP="008B5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4B1" w:rsidRPr="00336C48" w:rsidRDefault="008B54B1" w:rsidP="008B54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C48">
        <w:rPr>
          <w:rFonts w:ascii="Times New Roman" w:hAnsi="Times New Roman" w:cs="Times New Roman"/>
          <w:sz w:val="28"/>
          <w:szCs w:val="28"/>
        </w:rPr>
        <w:t>Дмитриева Л. М. Бренд в современной культуре: монография / Л.М. Дмитриева. — М.: Магистр: ИНФРА-М, 2021. — 200 с.</w:t>
      </w:r>
    </w:p>
    <w:p w:rsidR="008B54B1" w:rsidRPr="00336C48" w:rsidRDefault="008B54B1" w:rsidP="008B54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C48">
        <w:rPr>
          <w:rFonts w:ascii="Times New Roman" w:hAnsi="Times New Roman" w:cs="Times New Roman"/>
          <w:sz w:val="28"/>
          <w:szCs w:val="28"/>
        </w:rPr>
        <w:t xml:space="preserve">Домнин В. Н. </w:t>
      </w:r>
      <w:proofErr w:type="spellStart"/>
      <w:r w:rsidRPr="00336C48">
        <w:rPr>
          <w:rFonts w:ascii="Times New Roman" w:hAnsi="Times New Roman" w:cs="Times New Roman"/>
          <w:sz w:val="28"/>
          <w:szCs w:val="28"/>
        </w:rPr>
        <w:t>Брендинг</w:t>
      </w:r>
      <w:proofErr w:type="spellEnd"/>
      <w:r w:rsidRPr="00336C48">
        <w:rPr>
          <w:rFonts w:ascii="Times New Roman" w:hAnsi="Times New Roman" w:cs="Times New Roman"/>
          <w:sz w:val="28"/>
          <w:szCs w:val="28"/>
        </w:rPr>
        <w:t xml:space="preserve">: учебник и практикум для вузов / В. Н. Домнин. – 2-е изд., </w:t>
      </w:r>
      <w:proofErr w:type="spellStart"/>
      <w:r w:rsidRPr="00336C48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336C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6C48">
        <w:rPr>
          <w:rFonts w:ascii="Times New Roman" w:hAnsi="Times New Roman" w:cs="Times New Roman"/>
          <w:sz w:val="28"/>
          <w:szCs w:val="28"/>
        </w:rPr>
        <w:t xml:space="preserve"> и доп. – М.: Издательство </w:t>
      </w:r>
      <w:proofErr w:type="spellStart"/>
      <w:r w:rsidRPr="00336C4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36C48">
        <w:rPr>
          <w:rFonts w:ascii="Times New Roman" w:hAnsi="Times New Roman" w:cs="Times New Roman"/>
          <w:sz w:val="28"/>
          <w:szCs w:val="28"/>
        </w:rPr>
        <w:t>, 2021. – 493 с.</w:t>
      </w:r>
    </w:p>
    <w:p w:rsidR="008B54B1" w:rsidRPr="00336C48" w:rsidRDefault="008B54B1" w:rsidP="008B54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C48">
        <w:rPr>
          <w:rFonts w:ascii="Times New Roman" w:hAnsi="Times New Roman" w:cs="Times New Roman"/>
          <w:sz w:val="28"/>
          <w:szCs w:val="28"/>
        </w:rPr>
        <w:t xml:space="preserve">Дуглас В. П. Бессознательный </w:t>
      </w:r>
      <w:proofErr w:type="spellStart"/>
      <w:r w:rsidRPr="00336C48">
        <w:rPr>
          <w:rFonts w:ascii="Times New Roman" w:hAnsi="Times New Roman" w:cs="Times New Roman"/>
          <w:sz w:val="28"/>
          <w:szCs w:val="28"/>
        </w:rPr>
        <w:t>брендинг</w:t>
      </w:r>
      <w:proofErr w:type="spellEnd"/>
      <w:r w:rsidRPr="00336C48">
        <w:rPr>
          <w:rFonts w:ascii="Times New Roman" w:hAnsi="Times New Roman" w:cs="Times New Roman"/>
          <w:sz w:val="28"/>
          <w:szCs w:val="28"/>
        </w:rPr>
        <w:t xml:space="preserve">. Использование в маркетинге новейших достижений </w:t>
      </w:r>
      <w:proofErr w:type="spellStart"/>
      <w:r w:rsidRPr="00336C48">
        <w:rPr>
          <w:rFonts w:ascii="Times New Roman" w:hAnsi="Times New Roman" w:cs="Times New Roman"/>
          <w:sz w:val="28"/>
          <w:szCs w:val="28"/>
        </w:rPr>
        <w:t>нейробиологии</w:t>
      </w:r>
      <w:proofErr w:type="spellEnd"/>
      <w:r w:rsidRPr="00336C48">
        <w:rPr>
          <w:rFonts w:ascii="Times New Roman" w:hAnsi="Times New Roman" w:cs="Times New Roman"/>
          <w:sz w:val="28"/>
          <w:szCs w:val="28"/>
        </w:rPr>
        <w:t xml:space="preserve"> / В. П. Дуглас. – М.: Азбука, 2019. – 320 с.</w:t>
      </w:r>
    </w:p>
    <w:p w:rsidR="008B54B1" w:rsidRPr="00336C48" w:rsidRDefault="008B54B1" w:rsidP="008B54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6C48">
        <w:rPr>
          <w:rFonts w:ascii="Times New Roman" w:hAnsi="Times New Roman" w:cs="Times New Roman"/>
          <w:sz w:val="28"/>
          <w:szCs w:val="28"/>
        </w:rPr>
        <w:t>Каленская</w:t>
      </w:r>
      <w:proofErr w:type="spellEnd"/>
      <w:r w:rsidRPr="00336C48">
        <w:rPr>
          <w:rFonts w:ascii="Times New Roman" w:hAnsi="Times New Roman" w:cs="Times New Roman"/>
          <w:sz w:val="28"/>
          <w:szCs w:val="28"/>
        </w:rPr>
        <w:t xml:space="preserve"> Н. В. </w:t>
      </w:r>
      <w:proofErr w:type="spellStart"/>
      <w:r w:rsidRPr="00336C48">
        <w:rPr>
          <w:rFonts w:ascii="Times New Roman" w:hAnsi="Times New Roman" w:cs="Times New Roman"/>
          <w:sz w:val="28"/>
          <w:szCs w:val="28"/>
        </w:rPr>
        <w:t>Брендинг</w:t>
      </w:r>
      <w:proofErr w:type="spellEnd"/>
      <w:r w:rsidRPr="00336C48">
        <w:rPr>
          <w:rFonts w:ascii="Times New Roman" w:hAnsi="Times New Roman" w:cs="Times New Roman"/>
          <w:sz w:val="28"/>
          <w:szCs w:val="28"/>
        </w:rPr>
        <w:t xml:space="preserve">: учебное пособие / Н.В. </w:t>
      </w:r>
      <w:proofErr w:type="spellStart"/>
      <w:r w:rsidRPr="00336C48">
        <w:rPr>
          <w:rFonts w:ascii="Times New Roman" w:hAnsi="Times New Roman" w:cs="Times New Roman"/>
          <w:sz w:val="28"/>
          <w:szCs w:val="28"/>
        </w:rPr>
        <w:t>Каленская</w:t>
      </w:r>
      <w:proofErr w:type="spellEnd"/>
      <w:r w:rsidRPr="00336C48">
        <w:rPr>
          <w:rFonts w:ascii="Times New Roman" w:hAnsi="Times New Roman" w:cs="Times New Roman"/>
          <w:sz w:val="28"/>
          <w:szCs w:val="28"/>
        </w:rPr>
        <w:t xml:space="preserve">, Н.Г. </w:t>
      </w:r>
      <w:proofErr w:type="spellStart"/>
      <w:r w:rsidRPr="00336C48">
        <w:rPr>
          <w:rFonts w:ascii="Times New Roman" w:hAnsi="Times New Roman" w:cs="Times New Roman"/>
          <w:sz w:val="28"/>
          <w:szCs w:val="28"/>
        </w:rPr>
        <w:t>Антонченко</w:t>
      </w:r>
      <w:proofErr w:type="spellEnd"/>
      <w:r w:rsidRPr="00336C48">
        <w:rPr>
          <w:rFonts w:ascii="Times New Roman" w:hAnsi="Times New Roman" w:cs="Times New Roman"/>
          <w:sz w:val="28"/>
          <w:szCs w:val="28"/>
        </w:rPr>
        <w:t>. – Казань: «Абзац», 2019. – 125 c.</w:t>
      </w:r>
    </w:p>
    <w:p w:rsidR="008B54B1" w:rsidRPr="00336C48" w:rsidRDefault="008B54B1" w:rsidP="008B54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6C48">
        <w:rPr>
          <w:rFonts w:ascii="Times New Roman" w:hAnsi="Times New Roman" w:cs="Times New Roman"/>
          <w:sz w:val="28"/>
          <w:szCs w:val="28"/>
          <w:lang w:val="en-US"/>
        </w:rPr>
        <w:t xml:space="preserve">Global Banking and Finance // </w:t>
      </w:r>
      <w:hyperlink r:id="rId5" w:history="1">
        <w:r w:rsidRPr="00336C48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https://www.globalbankingandfinance.com/</w:t>
        </w:r>
      </w:hyperlink>
    </w:p>
    <w:p w:rsidR="008B54B1" w:rsidRPr="008B54B1" w:rsidRDefault="008B54B1" w:rsidP="008B54B1">
      <w:pPr>
        <w:rPr>
          <w:sz w:val="28"/>
          <w:szCs w:val="28"/>
          <w:lang w:val="en-US"/>
        </w:rPr>
      </w:pPr>
    </w:p>
    <w:sectPr w:rsidR="008B54B1" w:rsidRPr="008B5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9705E"/>
    <w:multiLevelType w:val="hybridMultilevel"/>
    <w:tmpl w:val="60703294"/>
    <w:lvl w:ilvl="0" w:tplc="274E6954">
      <w:start w:val="1"/>
      <w:numFmt w:val="decimal"/>
      <w:lvlText w:val="%1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13B"/>
    <w:rsid w:val="0036313B"/>
    <w:rsid w:val="008B54B1"/>
    <w:rsid w:val="00D7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B0BAE"/>
  <w15:chartTrackingRefBased/>
  <w15:docId w15:val="{62A1CE1E-7F9A-48C9-894A-AA5D588F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54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5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54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lobalbankingandfinanc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2022-10-14T06:21:00Z</dcterms:created>
  <dcterms:modified xsi:type="dcterms:W3CDTF">2022-10-14T06:25:00Z</dcterms:modified>
</cp:coreProperties>
</file>