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AD02A6">
        <w:rPr>
          <w:color w:val="000000"/>
          <w:sz w:val="28"/>
          <w:szCs w:val="28"/>
        </w:rPr>
        <w:t>Холдинги, как современная форма развития крупного бизнеса</w:t>
      </w:r>
    </w:p>
    <w:bookmarkEnd w:id="0"/>
    <w:p w:rsid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План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Введение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Глава 1 Теоретические основы холдинговых компаний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1.1 Понятие холдинговых компаний, цели их создания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1.2 Виды и структура холдинговых компаний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1.3 Преимущества и недостатки холдинговых компаний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Глава 2 Анализ «Национального научно-технологического холдинга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2.1 История, структура и стратегия развития холдинга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2.2 Анализ финансово-хозяйственной деятельности холдинга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Глава 3 Развитие холдинговых компаний в Республики Казахстан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Заключение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Список использованной литературы</w:t>
      </w:r>
    </w:p>
    <w:p w:rsidR="00AD02A6" w:rsidRPr="00AD02A6" w:rsidRDefault="00AD02A6" w:rsidP="00AD0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02A6">
        <w:rPr>
          <w:color w:val="000000"/>
          <w:sz w:val="28"/>
          <w:szCs w:val="28"/>
        </w:rPr>
        <w:t>Приложения</w:t>
      </w:r>
    </w:p>
    <w:p w:rsidR="00AD02A6" w:rsidRDefault="00AD0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1.</w:t>
      </w:r>
      <w:r w:rsidRPr="00AD02A6">
        <w:rPr>
          <w:rFonts w:ascii="Times New Roman" w:hAnsi="Times New Roman" w:cs="Times New Roman"/>
          <w:sz w:val="28"/>
          <w:szCs w:val="28"/>
        </w:rPr>
        <w:tab/>
        <w:t>Архипов Д. Проблемы перекрестного владения акциями (долями) основного хозяйственного общества его дочерними хозяйственными обществами (пути решения). // Хозяйство и право. - М., 2005. - № 9. - С. 64.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2.</w:t>
      </w:r>
      <w:r w:rsidRPr="00AD02A6">
        <w:rPr>
          <w:rFonts w:ascii="Times New Roman" w:hAnsi="Times New Roman" w:cs="Times New Roman"/>
          <w:sz w:val="28"/>
          <w:szCs w:val="28"/>
        </w:rPr>
        <w:tab/>
        <w:t>Бурдина А. Использование холдинговых структур в управлении активами предприятия. // Маркетинг. - М., 2006. - № 3 (88). - С. 99.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3.</w:t>
      </w:r>
      <w:r w:rsidRPr="00AD02A6">
        <w:rPr>
          <w:rFonts w:ascii="Times New Roman" w:hAnsi="Times New Roman" w:cs="Times New Roman"/>
          <w:sz w:val="28"/>
          <w:szCs w:val="28"/>
        </w:rPr>
        <w:tab/>
        <w:t>Винслав Ю., Лисов В. Становление холдинговых компаний: правовое и организационное обеспечение. // Российский экономический журнал. - 2000. - № 5-6. - С. 59.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4.</w:t>
      </w:r>
      <w:r w:rsidRPr="00AD02A6">
        <w:rPr>
          <w:rFonts w:ascii="Times New Roman" w:hAnsi="Times New Roman" w:cs="Times New Roman"/>
          <w:sz w:val="28"/>
          <w:szCs w:val="28"/>
        </w:rPr>
        <w:tab/>
        <w:t>Герасимов О.А. Подходы к проблеме финансово-промышленной интеграции в зарубежной науке // Бизнес, менеджмент и право. 2004. №3. С.54-55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5.</w:t>
      </w:r>
      <w:r w:rsidRPr="00AD02A6">
        <w:rPr>
          <w:rFonts w:ascii="Times New Roman" w:hAnsi="Times New Roman" w:cs="Times New Roman"/>
          <w:sz w:val="28"/>
          <w:szCs w:val="28"/>
        </w:rPr>
        <w:tab/>
        <w:t>Гололобов Д.В,, Бахмина СП. Три этапа развития холдинговых компаний в нефтяной отрасли // Законодательство и экономика, 2001. № 10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6.</w:t>
      </w:r>
      <w:r w:rsidRPr="00AD02A6">
        <w:rPr>
          <w:rFonts w:ascii="Times New Roman" w:hAnsi="Times New Roman" w:cs="Times New Roman"/>
          <w:sz w:val="28"/>
          <w:szCs w:val="28"/>
        </w:rPr>
        <w:tab/>
        <w:t>Журнал Эксперт №7 22 февраля 2003 г.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7.</w:t>
      </w:r>
      <w:r w:rsidRPr="00AD02A6">
        <w:rPr>
          <w:rFonts w:ascii="Times New Roman" w:hAnsi="Times New Roman" w:cs="Times New Roman"/>
          <w:sz w:val="28"/>
          <w:szCs w:val="28"/>
        </w:rPr>
        <w:tab/>
        <w:t>Лаптев В.А. Предпринимательские объединения: холдинги, финансово-промышленные группы, простые товарищества. М., Изд-во: Волтерс Клувер, 2008 г - 192 стр.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8.</w:t>
      </w:r>
      <w:r w:rsidRPr="00AD02A6">
        <w:rPr>
          <w:rFonts w:ascii="Times New Roman" w:hAnsi="Times New Roman" w:cs="Times New Roman"/>
          <w:sz w:val="28"/>
          <w:szCs w:val="28"/>
        </w:rPr>
        <w:tab/>
        <w:t>Мельник М.В., Герасимова Е.Б. Анализ финансово-хозяйственной деятельности предприятия. М.: Форум: ИНФРА-М, 2008. — 192 с.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9.</w:t>
      </w:r>
      <w:r w:rsidRPr="00AD02A6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от 1 августа 2011 года № 892 Об утверждении Стратегии развития акционерного общества «Национальный научно-технологический холдинг «Парасат» на 2011 - 2020 годы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10.</w:t>
      </w:r>
      <w:r w:rsidRPr="00AD02A6">
        <w:rPr>
          <w:rFonts w:ascii="Times New Roman" w:hAnsi="Times New Roman" w:cs="Times New Roman"/>
          <w:sz w:val="28"/>
          <w:szCs w:val="28"/>
        </w:rPr>
        <w:tab/>
        <w:t>Псарева Н. Ю. Холдинговые отношения: теоретические и методические аспекты. М.: ИД "Высшее образование и наука", 2003. С. 124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11.</w:t>
      </w:r>
      <w:r w:rsidRPr="00AD02A6">
        <w:rPr>
          <w:rFonts w:ascii="Times New Roman" w:hAnsi="Times New Roman" w:cs="Times New Roman"/>
          <w:sz w:val="28"/>
          <w:szCs w:val="28"/>
        </w:rPr>
        <w:tab/>
        <w:t>Райзберг Б.А., Лозовский Л.Ш., Стародубцева Е.Б. Современный экономический словарь.5-е изд., перераб. и доп. — м.: инфра-м, 2007.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12.</w:t>
      </w:r>
      <w:r w:rsidRPr="00AD02A6">
        <w:rPr>
          <w:rFonts w:ascii="Times New Roman" w:hAnsi="Times New Roman" w:cs="Times New Roman"/>
          <w:sz w:val="28"/>
          <w:szCs w:val="28"/>
        </w:rPr>
        <w:tab/>
        <w:t>Савчук В.П. Управление финансами предприятия. 2-е изд., стер. - М.: БИНОМ, Лаборатория знаний, 2005. — 480 с.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13.</w:t>
      </w:r>
      <w:r w:rsidRPr="00AD02A6">
        <w:rPr>
          <w:rFonts w:ascii="Times New Roman" w:hAnsi="Times New Roman" w:cs="Times New Roman"/>
          <w:sz w:val="28"/>
          <w:szCs w:val="28"/>
        </w:rPr>
        <w:tab/>
        <w:t>Стасевич Н. Особенности функционирования холдинга в Республике Беларусь // Белорусский фондовый рынок. 2000. №5. С.33-40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14.</w:t>
      </w:r>
      <w:r w:rsidRPr="00AD02A6">
        <w:rPr>
          <w:rFonts w:ascii="Times New Roman" w:hAnsi="Times New Roman" w:cs="Times New Roman"/>
          <w:sz w:val="28"/>
          <w:szCs w:val="28"/>
        </w:rPr>
        <w:tab/>
        <w:t>Томас Келлер Концепции холдинга. Обнинск. Изд. ГЦИПК 1997 г.- С. - 55</w:t>
      </w:r>
    </w:p>
    <w:p w:rsidR="00AD02A6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15.</w:t>
      </w:r>
      <w:r w:rsidRPr="00AD02A6">
        <w:rPr>
          <w:rFonts w:ascii="Times New Roman" w:hAnsi="Times New Roman" w:cs="Times New Roman"/>
          <w:sz w:val="28"/>
          <w:szCs w:val="28"/>
        </w:rPr>
        <w:tab/>
        <w:t xml:space="preserve">Цвайгерт К., Кетц X. Введение в сравнительное правоведение в сфере частного права. В 2-х т. Т, I. Основы: Пер. с нем. М.: Междунар. отношения. 2000. </w:t>
      </w:r>
    </w:p>
    <w:p w:rsidR="006F78E4" w:rsidRPr="00AD02A6" w:rsidRDefault="00AD02A6" w:rsidP="00AD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16.</w:t>
      </w:r>
      <w:r w:rsidRPr="00AD02A6">
        <w:rPr>
          <w:rFonts w:ascii="Times New Roman" w:hAnsi="Times New Roman" w:cs="Times New Roman"/>
          <w:sz w:val="28"/>
          <w:szCs w:val="28"/>
        </w:rPr>
        <w:tab/>
        <w:t>Шиткина И. Преимущества и недостатки холдинговой модели организации бизнеса. // Хозяйство и право. - М., 2005. - № 2. - С. 67-70.</w:t>
      </w:r>
    </w:p>
    <w:sectPr w:rsidR="006F78E4" w:rsidRPr="00AD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6"/>
    <w:rsid w:val="006F78E4"/>
    <w:rsid w:val="00A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2015-03-03T07:41:00Z</dcterms:created>
  <dcterms:modified xsi:type="dcterms:W3CDTF">2015-03-03T07:43:00Z</dcterms:modified>
</cp:coreProperties>
</file>