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5C" w:rsidRDefault="0088555C" w:rsidP="0088555C">
      <w:pPr>
        <w:ind w:firstLine="454"/>
        <w:jc w:val="center"/>
        <w:rPr>
          <w:sz w:val="28"/>
          <w:szCs w:val="28"/>
        </w:rPr>
      </w:pPr>
      <w:proofErr w:type="spellStart"/>
      <w:r>
        <w:t>Др_</w:t>
      </w:r>
      <w:bookmarkStart w:id="0" w:name="_GoBack"/>
      <w:r w:rsidRPr="008F2926">
        <w:rPr>
          <w:sz w:val="28"/>
          <w:szCs w:val="28"/>
        </w:rPr>
        <w:t>Игровые</w:t>
      </w:r>
      <w:proofErr w:type="spellEnd"/>
      <w:r w:rsidRPr="008F2926">
        <w:rPr>
          <w:sz w:val="28"/>
          <w:szCs w:val="28"/>
        </w:rPr>
        <w:t xml:space="preserve"> методы и приемы в процессе организации культурно-досуговых программ</w:t>
      </w:r>
      <w:bookmarkEnd w:id="0"/>
    </w:p>
    <w:p w:rsidR="0088555C" w:rsidRDefault="0088555C" w:rsidP="0088555C">
      <w:pPr>
        <w:ind w:firstLine="454"/>
        <w:jc w:val="center"/>
        <w:rPr>
          <w:sz w:val="28"/>
          <w:szCs w:val="28"/>
        </w:rPr>
      </w:pPr>
      <w:r>
        <w:rPr>
          <w:sz w:val="28"/>
          <w:szCs w:val="28"/>
        </w:rPr>
        <w:t>Стр-59</w:t>
      </w:r>
    </w:p>
    <w:p w:rsidR="0088555C" w:rsidRPr="0088555C" w:rsidRDefault="0088555C" w:rsidP="0088555C">
      <w:pPr>
        <w:ind w:firstLine="454"/>
        <w:rPr>
          <w:sz w:val="28"/>
          <w:szCs w:val="28"/>
          <w:highlight w:val="yellow"/>
        </w:rPr>
      </w:pPr>
    </w:p>
    <w:p w:rsidR="0088555C" w:rsidRDefault="0088555C" w:rsidP="0088555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88555C" w:rsidRDefault="0088555C" w:rsidP="0088555C">
      <w:pPr>
        <w:pStyle w:val="a3"/>
        <w:rPr>
          <w:rFonts w:ascii="Times New Roman" w:hAnsi="Times New Roman"/>
          <w:sz w:val="28"/>
          <w:szCs w:val="28"/>
        </w:rPr>
      </w:pPr>
    </w:p>
    <w:p w:rsidR="0088555C" w:rsidRDefault="0088555C" w:rsidP="0088555C">
      <w:pPr>
        <w:pStyle w:val="a3"/>
        <w:rPr>
          <w:rFonts w:ascii="Times New Roman" w:hAnsi="Times New Roman"/>
          <w:sz w:val="28"/>
          <w:szCs w:val="28"/>
        </w:rPr>
      </w:pPr>
    </w:p>
    <w:p w:rsidR="0088555C" w:rsidRPr="002D0B77" w:rsidRDefault="0088555C" w:rsidP="0088555C">
      <w:pPr>
        <w:pStyle w:val="1"/>
        <w:tabs>
          <w:tab w:val="right" w:leader="dot" w:pos="9628"/>
        </w:tabs>
        <w:spacing w:before="0" w:line="240" w:lineRule="auto"/>
        <w:ind w:right="567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eastAsia="ru-RU"/>
        </w:rPr>
      </w:pPr>
      <w:r w:rsidRPr="00737D53">
        <w:rPr>
          <w:rFonts w:ascii="Times New Roman" w:hAnsi="Times New Roman"/>
          <w:b w:val="0"/>
          <w:sz w:val="28"/>
          <w:szCs w:val="28"/>
        </w:rPr>
        <w:fldChar w:fldCharType="begin"/>
      </w:r>
      <w:r w:rsidRPr="00737D53">
        <w:rPr>
          <w:rFonts w:ascii="Times New Roman" w:hAnsi="Times New Roman"/>
          <w:b w:val="0"/>
          <w:sz w:val="28"/>
          <w:szCs w:val="28"/>
        </w:rPr>
        <w:instrText xml:space="preserve"> TOC \o "1-3" \h \z \u </w:instrText>
      </w:r>
      <w:r w:rsidRPr="00737D53">
        <w:rPr>
          <w:rFonts w:ascii="Times New Roman" w:hAnsi="Times New Roman"/>
          <w:b w:val="0"/>
          <w:sz w:val="28"/>
          <w:szCs w:val="28"/>
        </w:rPr>
        <w:fldChar w:fldCharType="separate"/>
      </w:r>
      <w:hyperlink w:anchor="_Toc513711946" w:history="1">
        <w:r>
          <w:rPr>
            <w:rStyle w:val="a4"/>
            <w:rFonts w:ascii="Times New Roman" w:hAnsi="Times New Roman"/>
            <w:b w:val="0"/>
            <w:caps w:val="0"/>
            <w:noProof/>
            <w:sz w:val="28"/>
            <w:szCs w:val="28"/>
            <w:shd w:val="clear" w:color="auto" w:fill="FFFFFF"/>
          </w:rPr>
          <w:t>В</w:t>
        </w:r>
        <w:r w:rsidRPr="00737D53">
          <w:rPr>
            <w:rStyle w:val="a4"/>
            <w:rFonts w:ascii="Times New Roman" w:hAnsi="Times New Roman"/>
            <w:b w:val="0"/>
            <w:caps w:val="0"/>
            <w:noProof/>
            <w:sz w:val="28"/>
            <w:szCs w:val="28"/>
            <w:shd w:val="clear" w:color="auto" w:fill="FFFFFF"/>
          </w:rPr>
          <w:t>ведение</w:t>
        </w:r>
      </w:hyperlink>
    </w:p>
    <w:p w:rsidR="0088555C" w:rsidRPr="002D0B77" w:rsidRDefault="00620D84" w:rsidP="0088555C">
      <w:pPr>
        <w:pStyle w:val="1"/>
        <w:tabs>
          <w:tab w:val="right" w:leader="dot" w:pos="9628"/>
        </w:tabs>
        <w:spacing w:before="0" w:line="240" w:lineRule="auto"/>
        <w:ind w:right="567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13711947" w:history="1">
        <w:r w:rsidR="0088555C" w:rsidRPr="00737D53">
          <w:rPr>
            <w:rStyle w:val="a4"/>
            <w:rFonts w:ascii="Times New Roman" w:hAnsi="Times New Roman"/>
            <w:b w:val="0"/>
            <w:caps w:val="0"/>
            <w:noProof/>
            <w:sz w:val="28"/>
            <w:szCs w:val="28"/>
          </w:rPr>
          <w:t>1</w:t>
        </w:r>
        <w:r w:rsidR="0088555C" w:rsidRPr="00737D53">
          <w:rPr>
            <w:rStyle w:val="a4"/>
            <w:rFonts w:ascii="Times New Roman" w:hAnsi="Times New Roman"/>
            <w:b w:val="0"/>
            <w:noProof/>
            <w:sz w:val="28"/>
            <w:szCs w:val="28"/>
          </w:rPr>
          <w:t xml:space="preserve"> Т</w:t>
        </w:r>
        <w:r w:rsidR="0088555C" w:rsidRPr="00737D53">
          <w:rPr>
            <w:rStyle w:val="a4"/>
            <w:rFonts w:ascii="Times New Roman" w:hAnsi="Times New Roman"/>
            <w:b w:val="0"/>
            <w:caps w:val="0"/>
            <w:noProof/>
            <w:sz w:val="28"/>
            <w:szCs w:val="28"/>
          </w:rPr>
          <w:t>еоретические аспекты применений игровых методов и приемов в культурно-досуговой работе</w:t>
        </w:r>
      </w:hyperlink>
    </w:p>
    <w:p w:rsidR="0088555C" w:rsidRPr="002D0B77" w:rsidRDefault="00620D84" w:rsidP="0088555C">
      <w:pPr>
        <w:pStyle w:val="2"/>
        <w:tabs>
          <w:tab w:val="right" w:leader="dot" w:pos="9628"/>
        </w:tabs>
        <w:spacing w:before="0" w:line="240" w:lineRule="auto"/>
        <w:ind w:right="567"/>
        <w:rPr>
          <w:rFonts w:ascii="Times New Roman" w:eastAsia="Times New Roman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513711948" w:history="1">
        <w:r w:rsidR="0088555C" w:rsidRPr="00737D53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1.1 Культурно - досуговая программа и ее особенности организации</w:t>
        </w:r>
      </w:hyperlink>
    </w:p>
    <w:p w:rsidR="0088555C" w:rsidRPr="002D0B77" w:rsidRDefault="00620D84" w:rsidP="0088555C">
      <w:pPr>
        <w:pStyle w:val="2"/>
        <w:tabs>
          <w:tab w:val="right" w:leader="dot" w:pos="9628"/>
        </w:tabs>
        <w:spacing w:before="0" w:line="240" w:lineRule="auto"/>
        <w:ind w:right="567"/>
        <w:rPr>
          <w:rFonts w:ascii="Times New Roman" w:eastAsia="Times New Roman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513711949" w:history="1">
        <w:r w:rsidR="0088555C" w:rsidRPr="00737D53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1.2 Содержание игровых методов и приемов культурно- досуговой деятельности</w:t>
        </w:r>
      </w:hyperlink>
    </w:p>
    <w:p w:rsidR="0088555C" w:rsidRPr="002D0B77" w:rsidRDefault="00620D84" w:rsidP="0088555C">
      <w:pPr>
        <w:pStyle w:val="1"/>
        <w:tabs>
          <w:tab w:val="right" w:leader="dot" w:pos="9628"/>
        </w:tabs>
        <w:spacing w:before="0" w:line="240" w:lineRule="auto"/>
        <w:ind w:right="567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13711950" w:history="1">
        <w:r w:rsidR="0088555C" w:rsidRPr="00737D53">
          <w:rPr>
            <w:rStyle w:val="a4"/>
            <w:rFonts w:ascii="Times New Roman" w:hAnsi="Times New Roman"/>
            <w:b w:val="0"/>
            <w:noProof/>
            <w:sz w:val="28"/>
            <w:szCs w:val="28"/>
          </w:rPr>
          <w:t>2 П</w:t>
        </w:r>
        <w:r w:rsidR="0088555C" w:rsidRPr="00737D53">
          <w:rPr>
            <w:rStyle w:val="a4"/>
            <w:rFonts w:ascii="Times New Roman" w:hAnsi="Times New Roman"/>
            <w:b w:val="0"/>
            <w:caps w:val="0"/>
            <w:noProof/>
            <w:sz w:val="28"/>
            <w:szCs w:val="28"/>
          </w:rPr>
          <w:t>рактика работы по применению игровых методов и приемов в процессе организации культурно - досуговых программ</w:t>
        </w:r>
      </w:hyperlink>
    </w:p>
    <w:p w:rsidR="0088555C" w:rsidRPr="002D0B77" w:rsidRDefault="00620D84" w:rsidP="0088555C">
      <w:pPr>
        <w:pStyle w:val="2"/>
        <w:tabs>
          <w:tab w:val="right" w:leader="dot" w:pos="9628"/>
        </w:tabs>
        <w:spacing w:before="0" w:line="240" w:lineRule="auto"/>
        <w:ind w:right="567"/>
        <w:rPr>
          <w:rFonts w:ascii="Times New Roman" w:eastAsia="Times New Roman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513711951" w:history="1">
        <w:r w:rsidR="0088555C" w:rsidRPr="00737D53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 xml:space="preserve">2.1 Специфика применения игровых методов и приемов в организации культурно-досуговой программы </w:t>
        </w:r>
      </w:hyperlink>
    </w:p>
    <w:p w:rsidR="0088555C" w:rsidRPr="002D0B77" w:rsidRDefault="00620D84" w:rsidP="0088555C">
      <w:pPr>
        <w:pStyle w:val="2"/>
        <w:tabs>
          <w:tab w:val="right" w:leader="dot" w:pos="9628"/>
        </w:tabs>
        <w:spacing w:before="0" w:line="240" w:lineRule="auto"/>
        <w:ind w:right="567"/>
        <w:rPr>
          <w:rFonts w:ascii="Times New Roman" w:eastAsia="Times New Roman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513711952" w:history="1">
        <w:r w:rsidR="0088555C" w:rsidRPr="00737D53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>2.2 Анализ результатов работы по организации к</w:t>
        </w:r>
        <w:r w:rsidR="0088555C">
          <w:rPr>
            <w:rStyle w:val="a4"/>
            <w:rFonts w:ascii="Times New Roman" w:hAnsi="Times New Roman" w:cs="Times New Roman"/>
            <w:b w:val="0"/>
            <w:noProof/>
            <w:sz w:val="28"/>
            <w:szCs w:val="28"/>
          </w:rPr>
          <w:t xml:space="preserve">ультурно - досуговой программы </w:t>
        </w:r>
      </w:hyperlink>
    </w:p>
    <w:p w:rsidR="0088555C" w:rsidRPr="002D0B77" w:rsidRDefault="00620D84" w:rsidP="0088555C">
      <w:pPr>
        <w:pStyle w:val="1"/>
        <w:tabs>
          <w:tab w:val="right" w:leader="dot" w:pos="9628"/>
        </w:tabs>
        <w:spacing w:before="0" w:line="240" w:lineRule="auto"/>
        <w:ind w:right="567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13711953" w:history="1">
        <w:r w:rsidR="0088555C">
          <w:rPr>
            <w:rStyle w:val="a4"/>
            <w:rFonts w:ascii="Times New Roman" w:hAnsi="Times New Roman"/>
            <w:b w:val="0"/>
            <w:caps w:val="0"/>
            <w:noProof/>
            <w:sz w:val="28"/>
            <w:szCs w:val="28"/>
          </w:rPr>
          <w:t>З</w:t>
        </w:r>
        <w:r w:rsidR="0088555C" w:rsidRPr="00737D53">
          <w:rPr>
            <w:rStyle w:val="a4"/>
            <w:rFonts w:ascii="Times New Roman" w:hAnsi="Times New Roman"/>
            <w:b w:val="0"/>
            <w:caps w:val="0"/>
            <w:noProof/>
            <w:sz w:val="28"/>
            <w:szCs w:val="28"/>
          </w:rPr>
          <w:t>аключение</w:t>
        </w:r>
      </w:hyperlink>
    </w:p>
    <w:p w:rsidR="0088555C" w:rsidRPr="002D0B77" w:rsidRDefault="00620D84" w:rsidP="0088555C">
      <w:pPr>
        <w:pStyle w:val="1"/>
        <w:tabs>
          <w:tab w:val="right" w:leader="dot" w:pos="9628"/>
        </w:tabs>
        <w:spacing w:before="0" w:line="240" w:lineRule="auto"/>
        <w:ind w:right="567"/>
        <w:rPr>
          <w:rFonts w:ascii="Times New Roman" w:eastAsia="Times New Roman" w:hAnsi="Times New Roman"/>
          <w:b w:val="0"/>
          <w:bCs w:val="0"/>
          <w:caps w:val="0"/>
          <w:noProof/>
          <w:sz w:val="28"/>
          <w:szCs w:val="28"/>
          <w:lang w:eastAsia="ru-RU"/>
        </w:rPr>
      </w:pPr>
      <w:hyperlink w:anchor="_Toc513711954" w:history="1">
        <w:r w:rsidR="0088555C" w:rsidRPr="00737D53">
          <w:rPr>
            <w:rStyle w:val="a4"/>
            <w:rFonts w:ascii="Times New Roman" w:hAnsi="Times New Roman"/>
            <w:b w:val="0"/>
            <w:noProof/>
            <w:sz w:val="28"/>
            <w:szCs w:val="28"/>
          </w:rPr>
          <w:t>С</w:t>
        </w:r>
        <w:r w:rsidR="0088555C" w:rsidRPr="00737D53">
          <w:rPr>
            <w:rStyle w:val="a4"/>
            <w:rFonts w:ascii="Times New Roman" w:hAnsi="Times New Roman"/>
            <w:b w:val="0"/>
            <w:caps w:val="0"/>
            <w:noProof/>
            <w:sz w:val="28"/>
            <w:szCs w:val="28"/>
          </w:rPr>
          <w:t>писок использованной литературы</w:t>
        </w:r>
      </w:hyperlink>
    </w:p>
    <w:p w:rsidR="0088555C" w:rsidRDefault="0088555C" w:rsidP="0088555C">
      <w:pPr>
        <w:ind w:right="567"/>
      </w:pPr>
      <w:r w:rsidRPr="00737D53">
        <w:rPr>
          <w:bCs/>
          <w:sz w:val="28"/>
          <w:szCs w:val="28"/>
        </w:rPr>
        <w:fldChar w:fldCharType="end"/>
      </w:r>
    </w:p>
    <w:p w:rsidR="0088555C" w:rsidRDefault="0088555C" w:rsidP="0088555C">
      <w:pPr>
        <w:pStyle w:val="a3"/>
        <w:rPr>
          <w:rFonts w:ascii="Times New Roman" w:hAnsi="Times New Roman"/>
          <w:sz w:val="28"/>
          <w:szCs w:val="28"/>
        </w:rPr>
      </w:pPr>
    </w:p>
    <w:p w:rsidR="0088555C" w:rsidRDefault="0088555C" w:rsidP="0088555C">
      <w:pPr>
        <w:pStyle w:val="a3"/>
        <w:rPr>
          <w:rFonts w:ascii="Times New Roman" w:hAnsi="Times New Roman"/>
          <w:sz w:val="28"/>
          <w:szCs w:val="28"/>
        </w:rPr>
      </w:pPr>
    </w:p>
    <w:p w:rsidR="007C2A7B" w:rsidRDefault="007C2A7B">
      <w:pPr>
        <w:spacing w:after="160" w:line="259" w:lineRule="auto"/>
      </w:pPr>
      <w:r>
        <w:br w:type="page"/>
      </w:r>
    </w:p>
    <w:p w:rsidR="007C2A7B" w:rsidRPr="007C2A7B" w:rsidRDefault="007C2A7B" w:rsidP="007C2A7B">
      <w:pPr>
        <w:ind w:firstLine="454"/>
        <w:jc w:val="both"/>
        <w:outlineLvl w:val="0"/>
        <w:rPr>
          <w:bCs/>
          <w:kern w:val="36"/>
          <w:sz w:val="28"/>
          <w:szCs w:val="48"/>
          <w:lang w:val="x-none" w:eastAsia="x-none"/>
        </w:rPr>
      </w:pPr>
      <w:bookmarkStart w:id="1" w:name="_Toc513711953"/>
      <w:r w:rsidRPr="007C2A7B">
        <w:rPr>
          <w:bCs/>
          <w:kern w:val="36"/>
          <w:sz w:val="28"/>
          <w:szCs w:val="48"/>
          <w:lang w:val="x-none" w:eastAsia="x-none"/>
        </w:rPr>
        <w:lastRenderedPageBreak/>
        <w:t>Заключение</w:t>
      </w:r>
      <w:bookmarkEnd w:id="1"/>
    </w:p>
    <w:p w:rsidR="007C2A7B" w:rsidRPr="007C2A7B" w:rsidRDefault="007C2A7B" w:rsidP="007C2A7B">
      <w:pPr>
        <w:jc w:val="both"/>
        <w:rPr>
          <w:sz w:val="28"/>
          <w:szCs w:val="28"/>
          <w:lang w:eastAsia="en-US"/>
        </w:rPr>
      </w:pPr>
    </w:p>
    <w:p w:rsidR="007C2A7B" w:rsidRPr="007C2A7B" w:rsidRDefault="007C2A7B" w:rsidP="007C2A7B">
      <w:pPr>
        <w:jc w:val="both"/>
        <w:rPr>
          <w:sz w:val="28"/>
          <w:szCs w:val="28"/>
          <w:lang w:eastAsia="en-US"/>
        </w:rPr>
      </w:pPr>
    </w:p>
    <w:p w:rsidR="007C2A7B" w:rsidRPr="007C2A7B" w:rsidRDefault="007C2A7B" w:rsidP="007C2A7B">
      <w:pPr>
        <w:widowControl w:val="0"/>
        <w:ind w:firstLine="454"/>
        <w:jc w:val="both"/>
        <w:rPr>
          <w:rFonts w:eastAsia="Calibri"/>
          <w:sz w:val="28"/>
          <w:szCs w:val="28"/>
          <w:lang w:eastAsia="en-US"/>
        </w:rPr>
      </w:pPr>
      <w:r w:rsidRPr="007C2A7B">
        <w:rPr>
          <w:rFonts w:eastAsia="Calibri"/>
          <w:sz w:val="28"/>
          <w:szCs w:val="28"/>
          <w:lang w:eastAsia="en-US"/>
        </w:rPr>
        <w:t>В настоящее время в Казахстане в соответствии с действующим законодательством разработана четкая система праздников, к которым относятся Национальные, государственные, профессиональные и иные праздники. Большинство значимых праздников сопровождается проведением официальных мероприятий.</w:t>
      </w:r>
    </w:p>
    <w:p w:rsidR="007C2A7B" w:rsidRDefault="007C2A7B" w:rsidP="007C2A7B">
      <w:pPr>
        <w:widowControl w:val="0"/>
        <w:ind w:firstLine="454"/>
        <w:jc w:val="both"/>
        <w:rPr>
          <w:rFonts w:eastAsia="Calibri"/>
          <w:sz w:val="28"/>
          <w:szCs w:val="28"/>
          <w:lang w:eastAsia="en-US"/>
        </w:rPr>
      </w:pPr>
      <w:r w:rsidRPr="007C2A7B">
        <w:rPr>
          <w:rFonts w:eastAsia="Calibri"/>
          <w:sz w:val="28"/>
          <w:szCs w:val="28"/>
          <w:lang w:eastAsia="en-US"/>
        </w:rPr>
        <w:t>Однако, как показывает практика, большая часть из них до сих пор не получила реального наполнения и не заняла должного места в общественном сознании. Особенно это характерно для праздников, появившихся в годы суверенного развития республики и имеющих национальных этнических характер, и исторически являющиеся праздниками Казахского народа забытые за годы существования советского Союза.</w:t>
      </w:r>
      <w:r w:rsidRPr="007C2A7B">
        <w:rPr>
          <w:rFonts w:eastAsia="Calibri"/>
          <w:color w:val="000000"/>
          <w:sz w:val="28"/>
          <w:szCs w:val="28"/>
          <w:lang w:eastAsia="en-US"/>
        </w:rPr>
        <w:t> </w:t>
      </w:r>
      <w:r w:rsidRPr="007C2A7B">
        <w:rPr>
          <w:rFonts w:eastAsia="Calibri"/>
          <w:bCs/>
          <w:sz w:val="28"/>
          <w:szCs w:val="28"/>
          <w:bdr w:val="none" w:sz="0" w:space="0" w:color="auto" w:frame="1"/>
          <w:lang w:eastAsia="en-US"/>
        </w:rPr>
        <w:t>Праздники ассоциируются у населения просто с дополнительным днем отдыха.</w:t>
      </w:r>
      <w:r w:rsidRPr="007C2A7B">
        <w:rPr>
          <w:rFonts w:eastAsia="Calibri"/>
          <w:color w:val="000000"/>
          <w:sz w:val="28"/>
          <w:szCs w:val="28"/>
          <w:lang w:eastAsia="en-US"/>
        </w:rPr>
        <w:t> </w:t>
      </w:r>
      <w:r w:rsidRPr="007C2A7B">
        <w:rPr>
          <w:rFonts w:eastAsia="Calibri"/>
          <w:sz w:val="28"/>
          <w:szCs w:val="28"/>
          <w:lang w:eastAsia="en-US"/>
        </w:rPr>
        <w:t>Более того, проведение праздничных мероприятий вызывает в некоторой части общества недоумение.</w:t>
      </w:r>
      <w:r w:rsidRPr="007C2A7B">
        <w:rPr>
          <w:rFonts w:eastAsia="Calibri"/>
          <w:color w:val="000000"/>
          <w:sz w:val="28"/>
          <w:szCs w:val="28"/>
          <w:lang w:eastAsia="en-US"/>
        </w:rPr>
        <w:t> </w:t>
      </w:r>
      <w:r w:rsidRPr="007C2A7B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 xml:space="preserve">(Исключение составляют лишь Новый год и Международный женский день, что связано с </w:t>
      </w:r>
      <w:proofErr w:type="spellStart"/>
      <w:r w:rsidRPr="007C2A7B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>деполитизированностью</w:t>
      </w:r>
      <w:proofErr w:type="spellEnd"/>
      <w:r w:rsidRPr="007C2A7B">
        <w:rPr>
          <w:rFonts w:eastAsia="Calibri"/>
          <w:iCs/>
          <w:sz w:val="28"/>
          <w:szCs w:val="28"/>
          <w:bdr w:val="none" w:sz="0" w:space="0" w:color="auto" w:frame="1"/>
          <w:lang w:eastAsia="en-US"/>
        </w:rPr>
        <w:t xml:space="preserve"> последних, массовым участием всего населения).</w:t>
      </w:r>
      <w:r w:rsidRPr="007C2A7B">
        <w:rPr>
          <w:rFonts w:eastAsia="Calibri"/>
          <w:color w:val="000000"/>
          <w:sz w:val="28"/>
          <w:szCs w:val="28"/>
          <w:lang w:eastAsia="en-US"/>
        </w:rPr>
        <w:t> </w:t>
      </w:r>
    </w:p>
    <w:p w:rsidR="007C2A7B" w:rsidRDefault="007C2A7B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7C2A7B" w:rsidRPr="007C2A7B" w:rsidRDefault="007C2A7B" w:rsidP="007C2A7B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30"/>
          <w:szCs w:val="30"/>
          <w:lang w:val="x-none" w:eastAsia="x-none"/>
        </w:rPr>
      </w:pPr>
      <w:bookmarkStart w:id="2" w:name="_Toc513711954"/>
      <w:r w:rsidRPr="007C2A7B">
        <w:rPr>
          <w:b/>
          <w:bCs/>
          <w:color w:val="000000"/>
          <w:kern w:val="36"/>
          <w:sz w:val="30"/>
          <w:szCs w:val="30"/>
          <w:lang w:val="x-none" w:eastAsia="x-none"/>
        </w:rPr>
        <w:lastRenderedPageBreak/>
        <w:t>Список использованной литературы</w:t>
      </w:r>
      <w:bookmarkEnd w:id="2"/>
    </w:p>
    <w:p w:rsidR="007C2A7B" w:rsidRPr="007C2A7B" w:rsidRDefault="007C2A7B" w:rsidP="007C2A7B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30"/>
          <w:szCs w:val="30"/>
          <w:lang w:val="x-none" w:eastAsia="x-none"/>
        </w:rPr>
      </w:pPr>
    </w:p>
    <w:p w:rsidR="007C2A7B" w:rsidRPr="007C2A7B" w:rsidRDefault="007C2A7B" w:rsidP="007C2A7B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30"/>
          <w:szCs w:val="30"/>
          <w:lang w:val="x-none" w:eastAsia="x-none"/>
        </w:rPr>
      </w:pPr>
    </w:p>
    <w:p w:rsidR="007C2A7B" w:rsidRPr="007C2A7B" w:rsidRDefault="007C2A7B" w:rsidP="007C2A7B">
      <w:pPr>
        <w:numPr>
          <w:ilvl w:val="0"/>
          <w:numId w:val="1"/>
        </w:numPr>
        <w:tabs>
          <w:tab w:val="left" w:pos="426"/>
        </w:tabs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7C2A7B">
        <w:rPr>
          <w:rFonts w:eastAsia="Calibri"/>
          <w:sz w:val="28"/>
          <w:szCs w:val="28"/>
          <w:shd w:val="clear" w:color="auto" w:fill="FFFFFF"/>
          <w:lang w:eastAsia="en-US"/>
        </w:rPr>
        <w:t>Статья Президента Казахстана Нурсултана Назарбаева «Взгляд в будущее: модернизация общественного сознания».</w:t>
      </w:r>
    </w:p>
    <w:p w:rsidR="007C2A7B" w:rsidRPr="007C2A7B" w:rsidRDefault="007C2A7B" w:rsidP="007C2A7B">
      <w:pPr>
        <w:numPr>
          <w:ilvl w:val="0"/>
          <w:numId w:val="1"/>
        </w:num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2A7B">
        <w:rPr>
          <w:rFonts w:eastAsia="Calibri"/>
          <w:sz w:val="28"/>
          <w:szCs w:val="28"/>
          <w:lang w:eastAsia="en-US"/>
        </w:rPr>
        <w:t>Закон Республики Казахстан от 15.12.2017 N 207-III ЗРК "О культуре».</w:t>
      </w:r>
    </w:p>
    <w:p w:rsidR="007C2A7B" w:rsidRPr="007C2A7B" w:rsidRDefault="007C2A7B" w:rsidP="007C2A7B">
      <w:pPr>
        <w:numPr>
          <w:ilvl w:val="0"/>
          <w:numId w:val="1"/>
        </w:num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2A7B">
        <w:rPr>
          <w:rFonts w:eastAsia="Calibri"/>
          <w:sz w:val="28"/>
          <w:szCs w:val="28"/>
          <w:lang w:eastAsia="en-US"/>
        </w:rPr>
        <w:t>Закон Республики Казахстан от 9 февраля 2017 года «О государственной политике».</w:t>
      </w:r>
    </w:p>
    <w:p w:rsidR="007C2A7B" w:rsidRPr="007C2A7B" w:rsidRDefault="007C2A7B" w:rsidP="007C2A7B">
      <w:pPr>
        <w:numPr>
          <w:ilvl w:val="0"/>
          <w:numId w:val="1"/>
        </w:num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2A7B">
        <w:rPr>
          <w:rFonts w:eastAsia="Calibri"/>
          <w:sz w:val="28"/>
          <w:szCs w:val="28"/>
          <w:lang w:eastAsia="en-US"/>
        </w:rPr>
        <w:t xml:space="preserve">Аванесова, Г.А. Культурно-досуговая деятельность: теория и практика </w:t>
      </w:r>
      <w:proofErr w:type="gramStart"/>
      <w:r w:rsidRPr="007C2A7B">
        <w:rPr>
          <w:rFonts w:eastAsia="Calibri"/>
          <w:sz w:val="28"/>
          <w:szCs w:val="28"/>
          <w:lang w:eastAsia="en-US"/>
        </w:rPr>
        <w:t>организации :</w:t>
      </w:r>
      <w:proofErr w:type="gramEnd"/>
      <w:r w:rsidRPr="007C2A7B">
        <w:rPr>
          <w:rFonts w:eastAsia="Calibri"/>
          <w:sz w:val="28"/>
          <w:szCs w:val="28"/>
          <w:lang w:eastAsia="en-US"/>
        </w:rPr>
        <w:t xml:space="preserve"> учеб. пособие / Г. А. Аванесова. - </w:t>
      </w:r>
      <w:proofErr w:type="gramStart"/>
      <w:r w:rsidRPr="007C2A7B">
        <w:rPr>
          <w:rFonts w:eastAsia="Calibri"/>
          <w:sz w:val="28"/>
          <w:szCs w:val="28"/>
          <w:lang w:eastAsia="en-US"/>
        </w:rPr>
        <w:t>М. :</w:t>
      </w:r>
      <w:proofErr w:type="gramEnd"/>
      <w:r w:rsidRPr="007C2A7B">
        <w:rPr>
          <w:rFonts w:eastAsia="Calibri"/>
          <w:sz w:val="28"/>
          <w:szCs w:val="28"/>
          <w:lang w:eastAsia="en-US"/>
        </w:rPr>
        <w:t xml:space="preserve"> Аспект Пресс, 2006. - 235 с</w:t>
      </w:r>
    </w:p>
    <w:p w:rsidR="007C2A7B" w:rsidRPr="007C2A7B" w:rsidRDefault="007C2A7B" w:rsidP="007C2A7B">
      <w:pPr>
        <w:numPr>
          <w:ilvl w:val="0"/>
          <w:numId w:val="1"/>
        </w:numPr>
        <w:tabs>
          <w:tab w:val="left" w:pos="426"/>
        </w:tabs>
        <w:jc w:val="both"/>
        <w:rPr>
          <w:rFonts w:eastAsia="Calibri"/>
          <w:sz w:val="28"/>
          <w:szCs w:val="28"/>
          <w:lang w:eastAsia="en-US"/>
        </w:rPr>
      </w:pPr>
      <w:r w:rsidRPr="007C2A7B">
        <w:rPr>
          <w:rFonts w:eastAsia="Calibri"/>
          <w:sz w:val="28"/>
          <w:szCs w:val="28"/>
          <w:lang w:eastAsia="en-US"/>
        </w:rPr>
        <w:t xml:space="preserve">Безрукова, О.Н. Социология </w:t>
      </w:r>
      <w:proofErr w:type="gramStart"/>
      <w:r w:rsidRPr="007C2A7B">
        <w:rPr>
          <w:rFonts w:eastAsia="Calibri"/>
          <w:sz w:val="28"/>
          <w:szCs w:val="28"/>
          <w:lang w:eastAsia="en-US"/>
        </w:rPr>
        <w:t>молодежи :</w:t>
      </w:r>
      <w:proofErr w:type="gramEnd"/>
      <w:r w:rsidRPr="007C2A7B">
        <w:rPr>
          <w:rFonts w:eastAsia="Calibri"/>
          <w:sz w:val="28"/>
          <w:szCs w:val="28"/>
          <w:lang w:eastAsia="en-US"/>
        </w:rPr>
        <w:t xml:space="preserve"> учеб.-метод. пособие /О.Н. Безрукова. - СПб</w:t>
      </w:r>
      <w:proofErr w:type="gramStart"/>
      <w:r w:rsidRPr="007C2A7B">
        <w:rPr>
          <w:rFonts w:eastAsia="Calibri"/>
          <w:sz w:val="28"/>
          <w:szCs w:val="28"/>
          <w:lang w:eastAsia="en-US"/>
        </w:rPr>
        <w:t>. :</w:t>
      </w:r>
      <w:proofErr w:type="gramEnd"/>
      <w:r w:rsidRPr="007C2A7B">
        <w:rPr>
          <w:rFonts w:eastAsia="Calibri"/>
          <w:sz w:val="28"/>
          <w:szCs w:val="28"/>
          <w:lang w:eastAsia="en-US"/>
        </w:rPr>
        <w:t xml:space="preserve"> Изд-во С.-</w:t>
      </w:r>
      <w:proofErr w:type="spellStart"/>
      <w:r w:rsidRPr="007C2A7B">
        <w:rPr>
          <w:rFonts w:eastAsia="Calibri"/>
          <w:sz w:val="28"/>
          <w:szCs w:val="28"/>
          <w:lang w:eastAsia="en-US"/>
        </w:rPr>
        <w:t>Петерб</w:t>
      </w:r>
      <w:proofErr w:type="spellEnd"/>
      <w:r w:rsidRPr="007C2A7B">
        <w:rPr>
          <w:rFonts w:eastAsia="Calibri"/>
          <w:sz w:val="28"/>
          <w:szCs w:val="28"/>
          <w:lang w:eastAsia="en-US"/>
        </w:rPr>
        <w:t>. ун-та, 2004. - 35 с.</w:t>
      </w:r>
    </w:p>
    <w:p w:rsidR="007C2A7B" w:rsidRPr="007C2A7B" w:rsidRDefault="007C2A7B" w:rsidP="007C2A7B">
      <w:pPr>
        <w:widowControl w:val="0"/>
        <w:ind w:firstLine="454"/>
        <w:jc w:val="both"/>
        <w:rPr>
          <w:sz w:val="28"/>
          <w:szCs w:val="28"/>
          <w:lang w:eastAsia="en-US"/>
        </w:rPr>
      </w:pPr>
    </w:p>
    <w:p w:rsidR="00065FAF" w:rsidRDefault="00065FAF"/>
    <w:sectPr w:rsidR="0006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506C"/>
    <w:multiLevelType w:val="hybridMultilevel"/>
    <w:tmpl w:val="E9B2D206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BF"/>
    <w:rsid w:val="00065FAF"/>
    <w:rsid w:val="00620D84"/>
    <w:rsid w:val="007C2A7B"/>
    <w:rsid w:val="0088555C"/>
    <w:rsid w:val="009B0FBF"/>
    <w:rsid w:val="00A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47968-5D35-4B49-85A6-24FB66FE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555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88555C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rsid w:val="0088555C"/>
    <w:pPr>
      <w:spacing w:before="360" w:line="276" w:lineRule="auto"/>
    </w:pPr>
    <w:rPr>
      <w:rFonts w:ascii="Cambria" w:eastAsia="Calibri" w:hAnsi="Cambria"/>
      <w:b/>
      <w:bCs/>
      <w:caps/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88555C"/>
    <w:pPr>
      <w:spacing w:before="240" w:line="276" w:lineRule="auto"/>
    </w:pPr>
    <w:rPr>
      <w:rFonts w:ascii="Calibri" w:eastAsia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2018-10-17T07:35:00Z</dcterms:created>
  <dcterms:modified xsi:type="dcterms:W3CDTF">2018-10-17T07:35:00Z</dcterms:modified>
</cp:coreProperties>
</file>