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AF796D" w:rsidP="00AF796D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AF796D">
        <w:rPr>
          <w:rFonts w:ascii="Times New Roman" w:hAnsi="Times New Roman" w:cs="Times New Roman"/>
          <w:sz w:val="28"/>
        </w:rPr>
        <w:t>Кр</w:t>
      </w:r>
      <w:proofErr w:type="spellEnd"/>
      <w:r w:rsidRPr="00AF796D">
        <w:rPr>
          <w:rFonts w:ascii="Times New Roman" w:hAnsi="Times New Roman" w:cs="Times New Roman"/>
          <w:sz w:val="28"/>
        </w:rPr>
        <w:t>- Изучение вопросов содержания трудового права в курсе Обществознания</w:t>
      </w:r>
    </w:p>
    <w:p w:rsidR="00AF796D" w:rsidRDefault="00AF796D" w:rsidP="00AF79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Стр-40</w:t>
      </w:r>
    </w:p>
    <w:p w:rsidR="00AF796D" w:rsidRPr="00AF796D" w:rsidRDefault="00AF796D" w:rsidP="00AF796D">
      <w:pPr>
        <w:keepNext/>
        <w:keepLine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AF796D">
        <w:rPr>
          <w:rFonts w:ascii="Cambria" w:eastAsia="Times New Roman" w:hAnsi="Cambria" w:cs="Times New Roman"/>
          <w:b/>
          <w:bCs/>
          <w:sz w:val="28"/>
          <w:szCs w:val="28"/>
        </w:rPr>
        <w:t>Содержание</w:t>
      </w:r>
    </w:p>
    <w:p w:rsidR="00AF796D" w:rsidRPr="00AF796D" w:rsidRDefault="00AF796D" w:rsidP="00AF796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r w:rsidRPr="00AF796D">
        <w:rPr>
          <w:rFonts w:ascii="Times New Roman" w:eastAsia="Calibri" w:hAnsi="Times New Roman" w:cs="Times New Roman"/>
          <w:sz w:val="28"/>
        </w:rPr>
        <w:fldChar w:fldCharType="begin"/>
      </w:r>
      <w:r w:rsidRPr="00AF796D">
        <w:rPr>
          <w:rFonts w:ascii="Times New Roman" w:eastAsia="Calibri" w:hAnsi="Times New Roman" w:cs="Times New Roman"/>
          <w:sz w:val="28"/>
        </w:rPr>
        <w:instrText xml:space="preserve"> TOC \o "1-3" \h \z \u </w:instrText>
      </w:r>
      <w:r w:rsidRPr="00AF796D">
        <w:rPr>
          <w:rFonts w:ascii="Times New Roman" w:eastAsia="Calibri" w:hAnsi="Times New Roman" w:cs="Times New Roman"/>
          <w:sz w:val="28"/>
        </w:rPr>
        <w:fldChar w:fldCharType="separate"/>
      </w:r>
      <w:hyperlink w:anchor="_Toc435628711" w:history="1">
        <w:r w:rsidRPr="00AF796D">
          <w:rPr>
            <w:rFonts w:ascii="Times New Roman" w:eastAsia="Calibri" w:hAnsi="Times New Roman" w:cs="Times New Roman"/>
            <w:noProof/>
            <w:sz w:val="28"/>
            <w:shd w:val="clear" w:color="auto" w:fill="FFFFFF"/>
          </w:rPr>
          <w:t>Введение</w:t>
        </w:r>
      </w:hyperlink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hyperlink w:anchor="_Toc435628712" w:history="1">
        <w:r w:rsidRPr="00AF796D">
          <w:rPr>
            <w:rFonts w:ascii="Times New Roman" w:eastAsia="Calibri" w:hAnsi="Times New Roman" w:cs="Times New Roman"/>
            <w:noProof/>
            <w:sz w:val="28"/>
            <w:shd w:val="clear" w:color="auto" w:fill="FFFFFF"/>
          </w:rPr>
          <w:t>1 Нормативно-правовое обеспечение изучения трудового права в курсе обществознания</w:t>
        </w:r>
      </w:hyperlink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hyperlink w:anchor="_Toc435628713" w:history="1">
        <w:r w:rsidRPr="00AF796D">
          <w:rPr>
            <w:rFonts w:ascii="Times New Roman" w:eastAsia="Calibri" w:hAnsi="Times New Roman" w:cs="Times New Roman"/>
            <w:noProof/>
            <w:sz w:val="28"/>
            <w:shd w:val="clear" w:color="auto" w:fill="FFFFFF"/>
          </w:rPr>
          <w:t>1.1 Нормативно-правовое обеспечение изучения раздела «Трудовое право» в курсе обществознания на старшей ступени общего образования</w:t>
        </w:r>
      </w:hyperlink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hyperlink w:anchor="_Toc435628714" w:history="1">
        <w:r w:rsidRPr="00AF796D">
          <w:rPr>
            <w:rFonts w:ascii="Times New Roman" w:eastAsia="Calibri" w:hAnsi="Times New Roman" w:cs="Times New Roman"/>
            <w:noProof/>
            <w:sz w:val="28"/>
            <w:shd w:val="clear" w:color="auto" w:fill="FFFFFF"/>
          </w:rPr>
          <w:t>1.2 Сравнительный анализ содержания вопросов трудового права в учебниках по обществознанию</w:t>
        </w:r>
      </w:hyperlink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hyperlink w:anchor="_Toc435628715" w:history="1">
        <w:r w:rsidRPr="00AF796D">
          <w:rPr>
            <w:rFonts w:ascii="Times New Roman" w:eastAsia="Calibri" w:hAnsi="Times New Roman" w:cs="Times New Roman"/>
            <w:noProof/>
            <w:sz w:val="28"/>
          </w:rPr>
          <w:t>2 Изучение вопросов трудового права, в курсе обществознания</w:t>
        </w:r>
      </w:hyperlink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hyperlink w:anchor="_Toc435628716" w:history="1">
        <w:r w:rsidRPr="00AF796D">
          <w:rPr>
            <w:rFonts w:ascii="Times New Roman" w:eastAsia="Calibri" w:hAnsi="Times New Roman" w:cs="Times New Roman"/>
            <w:noProof/>
            <w:sz w:val="28"/>
          </w:rPr>
          <w:t>2.1 Изучение вопросов  трудового права, заложенных в примерной программе основного общего образования по обществознанию</w:t>
        </w:r>
      </w:hyperlink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hyperlink w:anchor="_Toc435628717" w:history="1">
        <w:r w:rsidRPr="00AF796D">
          <w:rPr>
            <w:rFonts w:ascii="Times New Roman" w:eastAsia="Calibri" w:hAnsi="Times New Roman" w:cs="Times New Roman"/>
            <w:noProof/>
            <w:sz w:val="28"/>
            <w:shd w:val="clear" w:color="auto" w:fill="FFFFFF"/>
          </w:rPr>
          <w:t>2.2 Творческие задания на проверку приобретенных знаний, умений, навыков в изучении вопросов трудового права в курсе обществознания</w:t>
        </w:r>
      </w:hyperlink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hyperlink w:anchor="_Toc435628718" w:history="1">
        <w:r w:rsidRPr="00AF796D">
          <w:rPr>
            <w:rFonts w:ascii="Times New Roman" w:eastAsia="Calibri" w:hAnsi="Times New Roman" w:cs="Times New Roman"/>
            <w:noProof/>
            <w:sz w:val="28"/>
          </w:rPr>
          <w:t>Заключение</w:t>
        </w:r>
      </w:hyperlink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</w:p>
    <w:p w:rsidR="00AF796D" w:rsidRPr="00AF796D" w:rsidRDefault="00AF796D" w:rsidP="00AF796D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</w:rPr>
      </w:pPr>
      <w:hyperlink w:anchor="_Toc435628719" w:history="1">
        <w:r w:rsidRPr="00AF796D">
          <w:rPr>
            <w:rFonts w:ascii="Times New Roman" w:eastAsia="Calibri" w:hAnsi="Times New Roman" w:cs="Times New Roman"/>
            <w:noProof/>
            <w:sz w:val="28"/>
          </w:rPr>
          <w:t>Список использованной литературы</w:t>
        </w:r>
      </w:hyperlink>
    </w:p>
    <w:p w:rsidR="00AF796D" w:rsidRDefault="00AF796D" w:rsidP="00AF796D">
      <w:pPr>
        <w:rPr>
          <w:rFonts w:ascii="Times New Roman" w:eastAsia="Calibri" w:hAnsi="Times New Roman" w:cs="Times New Roman"/>
          <w:sz w:val="28"/>
        </w:rPr>
      </w:pPr>
      <w:r w:rsidRPr="00AF796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74DE8" wp14:editId="15C48C69">
                <wp:simplePos x="0" y="0"/>
                <wp:positionH relativeFrom="column">
                  <wp:posOffset>2606040</wp:posOffset>
                </wp:positionH>
                <wp:positionV relativeFrom="paragraph">
                  <wp:posOffset>5023485</wp:posOffset>
                </wp:positionV>
                <wp:extent cx="914400" cy="428625"/>
                <wp:effectExtent l="5715" t="13335" r="1333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9718" id="Прямоугольник 1" o:spid="_x0000_s1026" style="position:absolute;margin-left:205.2pt;margin-top:395.55pt;width:1in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" strokecolor="white"/>
            </w:pict>
          </mc:Fallback>
        </mc:AlternateContent>
      </w:r>
      <w:r w:rsidRPr="00AF796D">
        <w:rPr>
          <w:rFonts w:ascii="Times New Roman" w:eastAsia="Calibri" w:hAnsi="Times New Roman" w:cs="Times New Roman"/>
          <w:sz w:val="28"/>
        </w:rPr>
        <w:fldChar w:fldCharType="end"/>
      </w:r>
    </w:p>
    <w:p w:rsidR="00AF796D" w:rsidRDefault="00AF796D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AF796D" w:rsidRPr="00AF796D" w:rsidRDefault="00AF796D" w:rsidP="00AF796D">
      <w:pPr>
        <w:keepNext/>
        <w:keepLines/>
        <w:spacing w:after="0" w:line="276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35628718"/>
      <w:r w:rsidRPr="00AF79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0"/>
    </w:p>
    <w:p w:rsidR="00AF796D" w:rsidRPr="00AF796D" w:rsidRDefault="00AF796D" w:rsidP="00AF7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96D" w:rsidRPr="00AF796D" w:rsidRDefault="00AF796D" w:rsidP="00AF7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79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Становление и развитие правового государства теснейшим образом связано с правовой культурой, которая способствует утверждению основополагающих правовых принципов, стабильного правопорядка, правомерного поведения граждан, чувства правовой ответственности членов общества. </w:t>
      </w:r>
    </w:p>
    <w:p w:rsidR="00AF796D" w:rsidRPr="00AF796D" w:rsidRDefault="00AF796D" w:rsidP="00AF7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79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Высокий уровень правовой культуры является важнейшим признаком правового государства. Правовая культура оказывает влияние на все сферы правового бытия. От уровня правовой культуры зависит степень общественной активности граждан, их о участия в управлении государственными, общественными делами. Правовая культура способствует оптимальной социализации личности, улучшает систему правовой охраны и защиты ее прав. Чем выше уровень правовой культуры, тем качественнее и эффективнее правотворческая и правоприменительная деятельность, тем совершеннее устройство государства, деятельность его органов. </w:t>
      </w:r>
    </w:p>
    <w:p w:rsidR="00AF796D" w:rsidRDefault="00AF7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F796D" w:rsidRPr="00AF796D" w:rsidRDefault="00AF796D" w:rsidP="00AF796D">
      <w:pPr>
        <w:keepNext/>
        <w:keepLines/>
        <w:spacing w:after="0" w:line="276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35628719"/>
      <w:r w:rsidRPr="00AF79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  <w:bookmarkEnd w:id="1"/>
    </w:p>
    <w:p w:rsidR="00AF796D" w:rsidRPr="00AF796D" w:rsidRDefault="00AF796D" w:rsidP="00AF79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6D" w:rsidRPr="00AF796D" w:rsidRDefault="00AF796D" w:rsidP="00AF79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9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AF796D">
        <w:rPr>
          <w:rFonts w:ascii="Times New Roman" w:eastAsia="Calibri" w:hAnsi="Times New Roman" w:cs="Times New Roman"/>
          <w:sz w:val="28"/>
          <w:szCs w:val="28"/>
        </w:rPr>
        <w:t>Общая методика преподавания обществознания в школе. Под редакцией Л. Н. Боголюбова, М.: издательство Дрофа, 2008. - 203 с.;</w:t>
      </w:r>
    </w:p>
    <w:p w:rsidR="00AF796D" w:rsidRPr="00AF796D" w:rsidRDefault="00AF796D" w:rsidP="00AF79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96D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Pr="00AF796D">
        <w:rPr>
          <w:rFonts w:ascii="Times New Roman" w:eastAsia="Calibri" w:hAnsi="Times New Roman" w:cs="Times New Roman"/>
          <w:sz w:val="28"/>
          <w:szCs w:val="28"/>
        </w:rPr>
        <w:t>Хамзин</w:t>
      </w:r>
      <w:proofErr w:type="spellEnd"/>
      <w:r w:rsidRPr="00AF796D">
        <w:rPr>
          <w:rFonts w:ascii="Times New Roman" w:eastAsia="Calibri" w:hAnsi="Times New Roman" w:cs="Times New Roman"/>
          <w:sz w:val="28"/>
          <w:szCs w:val="28"/>
        </w:rPr>
        <w:t xml:space="preserve"> А.Ш., </w:t>
      </w:r>
      <w:proofErr w:type="spellStart"/>
      <w:r w:rsidRPr="00AF796D">
        <w:rPr>
          <w:rFonts w:ascii="Times New Roman" w:eastAsia="Calibri" w:hAnsi="Times New Roman" w:cs="Times New Roman"/>
          <w:sz w:val="28"/>
          <w:szCs w:val="28"/>
        </w:rPr>
        <w:t>Хамзина</w:t>
      </w:r>
      <w:proofErr w:type="spellEnd"/>
      <w:r w:rsidRPr="00AF796D">
        <w:rPr>
          <w:rFonts w:ascii="Times New Roman" w:eastAsia="Calibri" w:hAnsi="Times New Roman" w:cs="Times New Roman"/>
          <w:sz w:val="28"/>
          <w:szCs w:val="28"/>
        </w:rPr>
        <w:t xml:space="preserve"> Ж.А., </w:t>
      </w:r>
      <w:proofErr w:type="spellStart"/>
      <w:r w:rsidRPr="00AF796D">
        <w:rPr>
          <w:rFonts w:ascii="Times New Roman" w:eastAsia="Calibri" w:hAnsi="Times New Roman" w:cs="Times New Roman"/>
          <w:sz w:val="28"/>
          <w:szCs w:val="28"/>
        </w:rPr>
        <w:t>Хамзина</w:t>
      </w:r>
      <w:proofErr w:type="spellEnd"/>
      <w:r w:rsidRPr="00AF796D">
        <w:rPr>
          <w:rFonts w:ascii="Times New Roman" w:eastAsia="Calibri" w:hAnsi="Times New Roman" w:cs="Times New Roman"/>
          <w:sz w:val="28"/>
          <w:szCs w:val="28"/>
        </w:rPr>
        <w:t xml:space="preserve"> Л.А. Трудовое право: Учебник. - Астана, 2009. С.11;</w:t>
      </w:r>
    </w:p>
    <w:p w:rsidR="00AF796D" w:rsidRPr="00AF796D" w:rsidRDefault="00AF796D" w:rsidP="00AF79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96D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AF796D">
        <w:rPr>
          <w:rFonts w:ascii="Times New Roman" w:eastAsia="Calibri" w:hAnsi="Times New Roman" w:cs="Times New Roman"/>
          <w:iCs/>
          <w:sz w:val="28"/>
          <w:szCs w:val="28"/>
        </w:rPr>
        <w:t xml:space="preserve">Тихомиров Ю.А. </w:t>
      </w:r>
      <w:r w:rsidRPr="00AF796D">
        <w:rPr>
          <w:rFonts w:ascii="Times New Roman" w:eastAsia="Calibri" w:hAnsi="Times New Roman" w:cs="Times New Roman"/>
          <w:sz w:val="28"/>
          <w:szCs w:val="28"/>
        </w:rPr>
        <w:t>Курс сравнительного правоведения. М., 2012. С. 30;</w:t>
      </w:r>
    </w:p>
    <w:p w:rsidR="00AF796D" w:rsidRPr="00AF796D" w:rsidRDefault="00AF796D" w:rsidP="00AF79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96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r w:rsidRPr="00AF796D">
        <w:rPr>
          <w:rFonts w:ascii="Times New Roman" w:eastAsia="Calibri" w:hAnsi="Times New Roman" w:cs="Times New Roman"/>
          <w:sz w:val="28"/>
          <w:szCs w:val="28"/>
        </w:rPr>
        <w:t>Абузярова</w:t>
      </w:r>
      <w:proofErr w:type="spellEnd"/>
      <w:r w:rsidRPr="00AF796D">
        <w:rPr>
          <w:rFonts w:ascii="Times New Roman" w:eastAsia="Calibri" w:hAnsi="Times New Roman" w:cs="Times New Roman"/>
          <w:sz w:val="28"/>
          <w:szCs w:val="28"/>
        </w:rPr>
        <w:t xml:space="preserve"> Н.А. Трудовое право учебник. - Алматы: Юрист, 2012. С.26</w:t>
      </w:r>
    </w:p>
    <w:p w:rsidR="00AF796D" w:rsidRPr="00AF796D" w:rsidRDefault="00AF796D" w:rsidP="00AF79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96D">
        <w:rPr>
          <w:rFonts w:ascii="Times New Roman" w:eastAsia="Calibri" w:hAnsi="Times New Roman" w:cs="Times New Roman"/>
          <w:sz w:val="28"/>
          <w:szCs w:val="28"/>
        </w:rPr>
        <w:t>5 Приказ Министра образования и науки Республики Казахстан Об утверждении типовых учебных планов начального, основного среднего, общего среднего образования Республики Казахстан. Электронный ресурс: http://adilet.zan.kz/rus/docs/V1200008170</w:t>
      </w:r>
    </w:p>
    <w:p w:rsidR="00AF796D" w:rsidRPr="00AF796D" w:rsidRDefault="00AF796D" w:rsidP="00AF796D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AF796D" w:rsidRPr="00AF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73"/>
    <w:rsid w:val="00704E55"/>
    <w:rsid w:val="008D1A73"/>
    <w:rsid w:val="00AF796D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64AD"/>
  <w15:chartTrackingRefBased/>
  <w15:docId w15:val="{86A7E02D-2737-428E-8010-D3D73FA5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2017-01-27T10:21:00Z</dcterms:created>
  <dcterms:modified xsi:type="dcterms:W3CDTF">2017-01-27T10:30:00Z</dcterms:modified>
</cp:coreProperties>
</file>