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9A" w:rsidRDefault="00590A9A" w:rsidP="00590A9A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8C6C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финансовых ресурсов и эффективность их использования</w:t>
      </w:r>
    </w:p>
    <w:p w:rsidR="00FE4477" w:rsidRDefault="00590A9A" w:rsidP="00590A9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Стр-39</w:t>
      </w:r>
    </w:p>
    <w:p w:rsidR="00590A9A" w:rsidRPr="00590A9A" w:rsidRDefault="00590A9A" w:rsidP="00590A9A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0A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</w:t>
      </w:r>
    </w:p>
    <w:p w:rsidR="00590A9A" w:rsidRPr="00590A9A" w:rsidRDefault="00590A9A" w:rsidP="00590A9A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957" w:type="dxa"/>
        <w:tblLook w:val="04A0" w:firstRow="1" w:lastRow="0" w:firstColumn="1" w:lastColumn="0" w:noHBand="0" w:noVBand="1"/>
      </w:tblPr>
      <w:tblGrid>
        <w:gridCol w:w="566"/>
        <w:gridCol w:w="8756"/>
        <w:gridCol w:w="635"/>
      </w:tblGrid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caps/>
                <w:sz w:val="28"/>
                <w:szCs w:val="28"/>
              </w:rPr>
              <w:t>Введение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caps/>
                <w:sz w:val="28"/>
                <w:szCs w:val="28"/>
              </w:rPr>
              <w:t xml:space="preserve">Теоретические аспекты формирования  финансовыХ  ресурсОВ  ПРЕДПРИЯТИЯ 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 xml:space="preserve">Экономическая сущность, функции и классификация </w:t>
            </w:r>
          </w:p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 xml:space="preserve"> финансовых ресурсов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Сущность, задачи, источники  формирования  финансовых ресурсов  предприятия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Методы оценки эффективности использования  финансовых ресурсов 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caps/>
                <w:sz w:val="28"/>
                <w:szCs w:val="28"/>
              </w:rPr>
              <w:t>Анализ финансовых ресурсов ПРЕДПРИЯТИЯ  на материалах ТОО «</w:t>
            </w:r>
            <w:r w:rsidRPr="00590A9A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Краткая характеристика </w:t>
            </w:r>
            <w:r w:rsidRPr="00590A9A">
              <w:rPr>
                <w:rFonts w:ascii="Times New Roman" w:hAnsi="Times New Roman"/>
                <w:caps/>
                <w:sz w:val="28"/>
                <w:szCs w:val="28"/>
              </w:rPr>
              <w:t>ТОО «</w:t>
            </w: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83" w:lineRule="exact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Механизм формирования финансовых ресурсов предприятия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 xml:space="preserve">Анализ  эффективности использования финансовых ресурсов </w:t>
            </w:r>
            <w:r w:rsidRPr="00590A9A">
              <w:rPr>
                <w:rFonts w:ascii="Times New Roman" w:hAnsi="Times New Roman"/>
                <w:caps/>
                <w:sz w:val="28"/>
                <w:szCs w:val="28"/>
              </w:rPr>
              <w:t>ТОО «</w:t>
            </w: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590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90A9A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Совершенствование использования  финансовых ресурсОВ ПРЕДПРИЯТИЯ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590A9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</w:t>
            </w:r>
            <w:r w:rsidRPr="00590A9A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т</w:t>
            </w:r>
            <w:r w:rsidRPr="00590A9A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ru-RU"/>
              </w:rPr>
              <w:t>и</w:t>
            </w: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590A9A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ru-RU"/>
              </w:rPr>
              <w:t>из</w:t>
            </w:r>
            <w:r w:rsidRPr="00590A9A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а</w:t>
            </w:r>
            <w:r w:rsidRPr="00590A9A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ru-RU"/>
              </w:rPr>
              <w:t>ци</w:t>
            </w: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590A9A">
              <w:rPr>
                <w:rFonts w:ascii="Times New Roman" w:eastAsia="Times New Roman" w:hAnsi="Times New Roman"/>
                <w:bCs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590A9A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ru-RU"/>
              </w:rPr>
              <w:t>в</w:t>
            </w: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</w:t>
            </w:r>
            <w:r w:rsidRPr="00590A9A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ru-RU"/>
              </w:rPr>
              <w:t>и</w:t>
            </w: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Pr="00590A9A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ru-RU"/>
              </w:rPr>
              <w:t>ин</w:t>
            </w: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590A9A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590A9A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то</w:t>
            </w:r>
            <w:r w:rsidRPr="00590A9A">
              <w:rPr>
                <w:rFonts w:ascii="Times New Roman" w:eastAsia="Times New Roman" w:hAnsi="Times New Roman"/>
                <w:bCs/>
                <w:spacing w:val="-3"/>
                <w:sz w:val="28"/>
                <w:szCs w:val="28"/>
                <w:lang w:eastAsia="ru-RU"/>
              </w:rPr>
              <w:t>в</w:t>
            </w:r>
            <w:r w:rsidRPr="00590A9A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а</w:t>
            </w:r>
            <w:r w:rsidRPr="00590A9A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ru-RU"/>
              </w:rPr>
              <w:t>р</w:t>
            </w:r>
            <w:r w:rsidRPr="00590A9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н</w:t>
            </w:r>
            <w:r w:rsidRPr="00590A9A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ru-RU"/>
              </w:rPr>
              <w:t>ы</w:t>
            </w: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 </w:t>
            </w:r>
            <w:r w:rsidRPr="00590A9A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  <w:lang w:eastAsia="ru-RU"/>
              </w:rPr>
              <w:t>з</w:t>
            </w:r>
            <w:r w:rsidRPr="00590A9A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а</w:t>
            </w:r>
            <w:r w:rsidRPr="00590A9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</w:t>
            </w:r>
            <w:r w:rsidRPr="00590A9A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а</w:t>
            </w: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590A9A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о</w:t>
            </w:r>
            <w:r w:rsidRPr="00590A9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590A9A">
              <w:rPr>
                <w:rFonts w:ascii="Times New Roman" w:hAnsi="Times New Roman"/>
                <w:sz w:val="28"/>
                <w:szCs w:val="28"/>
              </w:rPr>
              <w:t>Расчет эффективности сезонных инвестиций (летник)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caps/>
                <w:sz w:val="28"/>
                <w:szCs w:val="28"/>
              </w:rPr>
              <w:t>Заключение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B40039"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caps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A9A" w:rsidRPr="00590A9A" w:rsidTr="0001774E">
        <w:trPr>
          <w:trHeight w:val="80"/>
        </w:trPr>
        <w:tc>
          <w:tcPr>
            <w:tcW w:w="56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6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</w:p>
        </w:tc>
        <w:tc>
          <w:tcPr>
            <w:tcW w:w="635" w:type="dxa"/>
            <w:shd w:val="clear" w:color="auto" w:fill="auto"/>
          </w:tcPr>
          <w:p w:rsidR="00590A9A" w:rsidRPr="00590A9A" w:rsidRDefault="00590A9A" w:rsidP="00590A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0A9A" w:rsidRDefault="00590A9A" w:rsidP="00590A9A"/>
    <w:p w:rsidR="00590A9A" w:rsidRDefault="00590A9A">
      <w:pPr>
        <w:spacing w:after="160" w:line="259" w:lineRule="auto"/>
      </w:pPr>
      <w:r>
        <w:br w:type="page"/>
      </w:r>
    </w:p>
    <w:p w:rsidR="00590A9A" w:rsidRPr="00836316" w:rsidRDefault="00590A9A" w:rsidP="00590A9A">
      <w:pPr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836316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Заключение</w:t>
      </w:r>
    </w:p>
    <w:p w:rsidR="00590A9A" w:rsidRDefault="00590A9A" w:rsidP="00590A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0A9A" w:rsidRPr="00A13732" w:rsidRDefault="00590A9A" w:rsidP="00590A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73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современных </w:t>
      </w:r>
      <w:r w:rsidRPr="00A13732">
        <w:rPr>
          <w:rFonts w:ascii="Times New Roman" w:eastAsia="Times New Roman" w:hAnsi="Times New Roman"/>
          <w:sz w:val="28"/>
          <w:szCs w:val="28"/>
          <w:lang w:eastAsia="ru-RU"/>
        </w:rPr>
        <w:t>условиях особую важность приобретают вопросы организации финансов и оптимального движения финансовых ресурсов, как на макроуровне, так и на уровне субъектов хозяйствования. Важность данного положения обусловлена тем, что финансы, являясь стоимостной категорией, оказывают существенное влияние на стадии воспроизводственного процесса в стране и это влияние тем более заметно и существенно на низовом уровне хозяйствования - предприятиях.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3732">
        <w:rPr>
          <w:rFonts w:ascii="Times New Roman" w:eastAsia="Times New Roman" w:hAnsi="Times New Roman"/>
          <w:sz w:val="28"/>
          <w:szCs w:val="28"/>
          <w:lang w:eastAsia="ru-RU"/>
        </w:rPr>
        <w:t>Финансовые ресурсы оказывают существенное влияние на все стадии воспроизводственного процесса, приспосабливая, тем самым, пропорции производства к общественным потребностям. Значимость финансовых ресурсов обусловлена еще и тем, что преобладающая их часть создается предприятиями сферы материального производства, а затем перераспределяется в другие звенья национальной экономики.</w:t>
      </w:r>
    </w:p>
    <w:p w:rsidR="00590A9A" w:rsidRDefault="00590A9A" w:rsidP="00590A9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646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использования финансовых ресурсов обеспечивается в значительной мере постановкой и организацией их формирования и процедуры трансформации в активы предприятия. </w:t>
      </w:r>
    </w:p>
    <w:p w:rsidR="00590A9A" w:rsidRDefault="00590A9A">
      <w:pPr>
        <w:spacing w:after="160" w:line="259" w:lineRule="auto"/>
      </w:pPr>
      <w:r>
        <w:br w:type="page"/>
      </w:r>
    </w:p>
    <w:p w:rsidR="00590A9A" w:rsidRPr="00590A9A" w:rsidRDefault="00590A9A" w:rsidP="00590A9A">
      <w:pPr>
        <w:widowControl w:val="0"/>
        <w:spacing w:after="0" w:line="283" w:lineRule="exact"/>
        <w:ind w:firstLine="709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590A9A">
        <w:rPr>
          <w:rFonts w:ascii="Times New Roman" w:hAnsi="Times New Roman"/>
          <w:caps/>
          <w:sz w:val="28"/>
          <w:szCs w:val="28"/>
        </w:rPr>
        <w:lastRenderedPageBreak/>
        <w:t>Список использованной литературы</w:t>
      </w:r>
    </w:p>
    <w:p w:rsidR="00590A9A" w:rsidRPr="00590A9A" w:rsidRDefault="00590A9A" w:rsidP="00590A9A">
      <w:pPr>
        <w:widowControl w:val="0"/>
        <w:spacing w:after="0" w:line="283" w:lineRule="exact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590A9A" w:rsidRPr="00590A9A" w:rsidRDefault="00590A9A" w:rsidP="00590A9A">
      <w:pPr>
        <w:widowControl w:val="0"/>
        <w:spacing w:after="0" w:line="298" w:lineRule="exact"/>
        <w:ind w:right="-1" w:firstLine="6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0"/>
        <w:gridCol w:w="8585"/>
      </w:tblGrid>
      <w:tr w:rsidR="00590A9A" w:rsidRPr="00590A9A" w:rsidTr="0001774E">
        <w:tc>
          <w:tcPr>
            <w:tcW w:w="770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bookmarkStart w:id="0" w:name="_GoBack" w:colFirst="0" w:colLast="2"/>
            <w:r w:rsidRPr="00590A9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85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 xml:space="preserve">Бланк И.А. Управление формированием капитала. — К.: Ника-Центр, </w:t>
            </w:r>
            <w:proofErr w:type="spellStart"/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>Эльга</w:t>
            </w:r>
            <w:proofErr w:type="spellEnd"/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>, 2011.-340 с.</w:t>
            </w:r>
          </w:p>
        </w:tc>
      </w:tr>
      <w:tr w:rsidR="00590A9A" w:rsidRPr="00590A9A" w:rsidTr="0001774E">
        <w:tc>
          <w:tcPr>
            <w:tcW w:w="770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85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bCs/>
                <w:iCs/>
                <w:sz w:val="28"/>
                <w:szCs w:val="28"/>
              </w:rPr>
              <w:t>Бочаров В.В.</w:t>
            </w:r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90A9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Леонтьев В.Е., </w:t>
            </w:r>
            <w:proofErr w:type="spellStart"/>
            <w:r w:rsidRPr="00590A9A">
              <w:rPr>
                <w:rFonts w:ascii="Times New Roman" w:hAnsi="Times New Roman"/>
                <w:bCs/>
                <w:iCs/>
                <w:sz w:val="28"/>
                <w:szCs w:val="28"/>
              </w:rPr>
              <w:t>Радковекая</w:t>
            </w:r>
            <w:proofErr w:type="spellEnd"/>
            <w:r w:rsidRPr="00590A9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Н.Н</w:t>
            </w:r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 xml:space="preserve"> Финансовое моделирование. — СПб.: Питер, 2011.-120 с.</w:t>
            </w:r>
          </w:p>
        </w:tc>
      </w:tr>
      <w:tr w:rsidR="00590A9A" w:rsidRPr="00590A9A" w:rsidTr="0001774E">
        <w:tc>
          <w:tcPr>
            <w:tcW w:w="770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585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bCs/>
                <w:iCs/>
                <w:sz w:val="28"/>
                <w:szCs w:val="28"/>
              </w:rPr>
              <w:t>Бочаров В.В.</w:t>
            </w:r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 xml:space="preserve"> Финансовый анализ. — СПб.: Питер, 2011.-230 с.</w:t>
            </w:r>
          </w:p>
        </w:tc>
      </w:tr>
      <w:tr w:rsidR="00590A9A" w:rsidRPr="00590A9A" w:rsidTr="0001774E">
        <w:tc>
          <w:tcPr>
            <w:tcW w:w="770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85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>Жуйриков</w:t>
            </w:r>
            <w:proofErr w:type="spellEnd"/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 xml:space="preserve"> К.К., </w:t>
            </w:r>
            <w:proofErr w:type="spellStart"/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>Раимов</w:t>
            </w:r>
            <w:proofErr w:type="spellEnd"/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 xml:space="preserve"> С.Р. Корпоративные финансы. Алматы. 2011. – 512 с.</w:t>
            </w:r>
          </w:p>
        </w:tc>
      </w:tr>
      <w:tr w:rsidR="00590A9A" w:rsidRPr="00590A9A" w:rsidTr="0001774E">
        <w:tc>
          <w:tcPr>
            <w:tcW w:w="770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0A9A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85" w:type="dxa"/>
            <w:shd w:val="clear" w:color="auto" w:fill="auto"/>
          </w:tcPr>
          <w:p w:rsidR="00590A9A" w:rsidRPr="00590A9A" w:rsidRDefault="00590A9A" w:rsidP="00590A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>Интыкбаева</w:t>
            </w:r>
            <w:proofErr w:type="spellEnd"/>
            <w:r w:rsidRPr="00590A9A">
              <w:rPr>
                <w:rFonts w:ascii="Times New Roman" w:hAnsi="Times New Roman"/>
                <w:bCs/>
                <w:sz w:val="28"/>
                <w:szCs w:val="28"/>
              </w:rPr>
              <w:t xml:space="preserve"> С.Ж. Финансовые индикаторы экономического роста // Материалы международной научно-практической конференции,2013</w:t>
            </w:r>
          </w:p>
        </w:tc>
      </w:tr>
      <w:bookmarkEnd w:id="0"/>
    </w:tbl>
    <w:p w:rsidR="00590A9A" w:rsidRDefault="00590A9A" w:rsidP="00590A9A"/>
    <w:sectPr w:rsidR="0059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EC"/>
    <w:rsid w:val="0001774E"/>
    <w:rsid w:val="00590A9A"/>
    <w:rsid w:val="00704E55"/>
    <w:rsid w:val="00834FEC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D21A"/>
  <w15:chartTrackingRefBased/>
  <w15:docId w15:val="{51BF52F2-D12C-429B-8DAA-E79F2DBD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2017-01-30T10:53:00Z</dcterms:created>
  <dcterms:modified xsi:type="dcterms:W3CDTF">2017-02-16T09:54:00Z</dcterms:modified>
</cp:coreProperties>
</file>