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860BE7" w:rsidP="00860BE7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860BE7">
        <w:rPr>
          <w:rFonts w:ascii="Times New Roman" w:hAnsi="Times New Roman" w:cs="Times New Roman"/>
          <w:sz w:val="28"/>
        </w:rPr>
        <w:t>Кр</w:t>
      </w:r>
      <w:proofErr w:type="spellEnd"/>
      <w:r w:rsidRPr="00860BE7">
        <w:rPr>
          <w:rFonts w:ascii="Times New Roman" w:hAnsi="Times New Roman" w:cs="Times New Roman"/>
          <w:sz w:val="28"/>
        </w:rPr>
        <w:t>-Источники права</w:t>
      </w:r>
    </w:p>
    <w:p w:rsidR="00860BE7" w:rsidRDefault="00860BE7" w:rsidP="00860B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Стр-33</w:t>
      </w:r>
    </w:p>
    <w:p w:rsidR="00860BE7" w:rsidRPr="00860BE7" w:rsidRDefault="00860BE7" w:rsidP="00860BE7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bookmarkStart w:id="0" w:name="_Toc435626466"/>
      <w:bookmarkStart w:id="1" w:name="_Toc435622286"/>
      <w:bookmarkStart w:id="2" w:name="_Toc435735380"/>
      <w:bookmarkStart w:id="3" w:name="_Toc435969214"/>
      <w:bookmarkStart w:id="4" w:name="_Toc444856051"/>
      <w:r w:rsidRPr="00860BE7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содержание</w:t>
      </w:r>
      <w:bookmarkEnd w:id="0"/>
      <w:bookmarkEnd w:id="1"/>
      <w:bookmarkEnd w:id="2"/>
      <w:bookmarkEnd w:id="3"/>
      <w:bookmarkEnd w:id="4"/>
      <w:r w:rsidRPr="00860BE7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 xml:space="preserve"> </w:t>
      </w:r>
    </w:p>
    <w:p w:rsidR="00860BE7" w:rsidRPr="00860BE7" w:rsidRDefault="00860BE7" w:rsidP="00860BE7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</w:p>
    <w:p w:rsidR="00860BE7" w:rsidRPr="00860BE7" w:rsidRDefault="00860BE7" w:rsidP="00860BE7">
      <w:pPr>
        <w:tabs>
          <w:tab w:val="right" w:leader="dot" w:pos="9345"/>
        </w:tabs>
        <w:spacing w:before="240" w:after="12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860BE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fldChar w:fldCharType="begin"/>
      </w:r>
      <w:r w:rsidRPr="00860BE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instrText xml:space="preserve"> TOC \o "1-3" \h \z \u </w:instrText>
      </w:r>
      <w:r w:rsidRPr="00860BE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fldChar w:fldCharType="separate"/>
      </w:r>
      <w:hyperlink w:anchor="_Toc444856052" w:history="1">
        <w:r w:rsidRPr="00860BE7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Введение</w:t>
        </w:r>
      </w:hyperlink>
    </w:p>
    <w:p w:rsidR="00860BE7" w:rsidRPr="00860BE7" w:rsidRDefault="00C35F32" w:rsidP="00860BE7">
      <w:pPr>
        <w:tabs>
          <w:tab w:val="right" w:leader="dot" w:pos="9345"/>
        </w:tabs>
        <w:spacing w:before="240" w:after="12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44856053" w:history="1">
        <w:r w:rsidR="00860BE7" w:rsidRPr="00860BE7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1. Понятие и виды источников права РК</w:t>
        </w:r>
      </w:hyperlink>
    </w:p>
    <w:p w:rsidR="00860BE7" w:rsidRPr="00860BE7" w:rsidRDefault="00C35F32" w:rsidP="00860BE7">
      <w:pPr>
        <w:tabs>
          <w:tab w:val="right" w:leader="dot" w:pos="9345"/>
        </w:tabs>
        <w:spacing w:before="120" w:after="0" w:line="240" w:lineRule="auto"/>
        <w:ind w:left="24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44856054" w:history="1">
        <w:r w:rsidR="00860BE7" w:rsidRPr="00860BE7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1.1. Понятие источника и формы права</w:t>
        </w:r>
      </w:hyperlink>
    </w:p>
    <w:p w:rsidR="00860BE7" w:rsidRPr="00860BE7" w:rsidRDefault="00C35F32" w:rsidP="00860BE7">
      <w:pPr>
        <w:tabs>
          <w:tab w:val="right" w:leader="dot" w:pos="9345"/>
        </w:tabs>
        <w:spacing w:before="120" w:after="0" w:line="240" w:lineRule="auto"/>
        <w:ind w:left="24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44856055" w:history="1">
        <w:r w:rsidR="00860BE7" w:rsidRPr="00860BE7">
          <w:rPr>
            <w:rFonts w:ascii="Times New Roman" w:eastAsia="Times New Roman" w:hAnsi="Times New Roman" w:cs="Times New Roman"/>
            <w:iCs/>
            <w:noProof/>
            <w:sz w:val="28"/>
            <w:szCs w:val="28"/>
            <w:shd w:val="clear" w:color="auto" w:fill="FFFFFF"/>
            <w:lang w:eastAsia="ru-RU"/>
          </w:rPr>
          <w:t>1.2. Виды источников права</w:t>
        </w:r>
      </w:hyperlink>
    </w:p>
    <w:p w:rsidR="00860BE7" w:rsidRPr="00860BE7" w:rsidRDefault="00C35F32" w:rsidP="00860BE7">
      <w:pPr>
        <w:tabs>
          <w:tab w:val="right" w:leader="dot" w:pos="9345"/>
        </w:tabs>
        <w:spacing w:before="240" w:after="12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44856056" w:history="1">
        <w:r w:rsidR="00860BE7" w:rsidRPr="00860BE7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2. ПОНЯТИЕ И ХАРАКТЕРИСТИКА ИСТОЧНИКОВ ПРАВА РК</w:t>
        </w:r>
      </w:hyperlink>
    </w:p>
    <w:p w:rsidR="00860BE7" w:rsidRPr="00860BE7" w:rsidRDefault="00C35F32" w:rsidP="00860BE7">
      <w:pPr>
        <w:tabs>
          <w:tab w:val="right" w:leader="dot" w:pos="9345"/>
        </w:tabs>
        <w:spacing w:before="120" w:after="0" w:line="240" w:lineRule="auto"/>
        <w:ind w:left="24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44856057" w:history="1">
        <w:r w:rsidR="00860BE7" w:rsidRPr="00860BE7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2.1. Общая характеристика источников права</w:t>
        </w:r>
      </w:hyperlink>
    </w:p>
    <w:p w:rsidR="00860BE7" w:rsidRPr="00860BE7" w:rsidRDefault="00C35F32" w:rsidP="00860BE7">
      <w:pPr>
        <w:tabs>
          <w:tab w:val="right" w:leader="dot" w:pos="9345"/>
        </w:tabs>
        <w:spacing w:before="120" w:after="0" w:line="240" w:lineRule="auto"/>
        <w:ind w:left="24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44856058" w:history="1">
        <w:r w:rsidR="00860BE7" w:rsidRPr="00860BE7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2.2. Законы как источники права</w:t>
        </w:r>
      </w:hyperlink>
    </w:p>
    <w:p w:rsidR="00860BE7" w:rsidRPr="00860BE7" w:rsidRDefault="00C35F32" w:rsidP="00860BE7">
      <w:pPr>
        <w:tabs>
          <w:tab w:val="right" w:leader="dot" w:pos="9345"/>
        </w:tabs>
        <w:spacing w:before="120" w:after="0" w:line="240" w:lineRule="auto"/>
        <w:ind w:left="24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44856059" w:history="1">
        <w:r w:rsidR="00860BE7" w:rsidRPr="00860BE7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2.3 Подзаконные нормативные акты</w:t>
        </w:r>
      </w:hyperlink>
    </w:p>
    <w:p w:rsidR="00860BE7" w:rsidRPr="00860BE7" w:rsidRDefault="00C35F32" w:rsidP="00860BE7">
      <w:pPr>
        <w:tabs>
          <w:tab w:val="right" w:leader="dot" w:pos="9345"/>
        </w:tabs>
        <w:spacing w:before="120" w:after="0" w:line="240" w:lineRule="auto"/>
        <w:ind w:left="24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44856060" w:history="1">
        <w:r w:rsidR="00860BE7" w:rsidRPr="00860BE7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2.4 Указы Президента РК источник права</w:t>
        </w:r>
      </w:hyperlink>
    </w:p>
    <w:p w:rsidR="00860BE7" w:rsidRPr="00860BE7" w:rsidRDefault="00C35F32" w:rsidP="00860BE7">
      <w:pPr>
        <w:tabs>
          <w:tab w:val="right" w:leader="dot" w:pos="9345"/>
        </w:tabs>
        <w:spacing w:before="240" w:after="12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44856061" w:history="1">
        <w:r w:rsidR="00860BE7" w:rsidRPr="00860BE7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Заключение</w:t>
        </w:r>
      </w:hyperlink>
    </w:p>
    <w:p w:rsidR="00860BE7" w:rsidRPr="00860BE7" w:rsidRDefault="00C35F32" w:rsidP="00860BE7">
      <w:pPr>
        <w:tabs>
          <w:tab w:val="right" w:leader="dot" w:pos="9345"/>
        </w:tabs>
        <w:spacing w:before="240" w:after="12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44856062" w:history="1">
        <w:r w:rsidR="00860BE7" w:rsidRPr="00860BE7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Список использованной литературы</w:t>
        </w:r>
      </w:hyperlink>
    </w:p>
    <w:p w:rsidR="00860BE7" w:rsidRDefault="00860BE7" w:rsidP="00860BE7">
      <w:pPr>
        <w:rPr>
          <w:rFonts w:ascii="Times New Roman" w:hAnsi="Times New Roman" w:cs="Times New Roman"/>
          <w:sz w:val="28"/>
        </w:rPr>
      </w:pPr>
      <w:r w:rsidRPr="00860BE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ldChar w:fldCharType="end"/>
      </w:r>
    </w:p>
    <w:p w:rsidR="00860BE7" w:rsidRDefault="00860B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60BE7" w:rsidRPr="00860BE7" w:rsidRDefault="00860BE7" w:rsidP="00860BE7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bookmarkStart w:id="5" w:name="_Toc444856061"/>
      <w:r w:rsidRPr="00860BE7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lastRenderedPageBreak/>
        <w:t>Заключение</w:t>
      </w:r>
      <w:bookmarkEnd w:id="5"/>
      <w:r w:rsidRPr="00860BE7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 xml:space="preserve"> </w:t>
      </w:r>
    </w:p>
    <w:p w:rsidR="00860BE7" w:rsidRPr="00860BE7" w:rsidRDefault="00860BE7" w:rsidP="00860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BE7" w:rsidRPr="00860BE7" w:rsidRDefault="00860BE7" w:rsidP="00860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BE7" w:rsidRPr="00860BE7" w:rsidRDefault="00860BE7" w:rsidP="00860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источников права достаточно стабильны, многие из них указаны в Конституции Республики Казахстан. Подобное отношение к источникам права является основным отличием романо-германской правовой системы. В других правовых системах к источникам права также относят:</w:t>
      </w:r>
    </w:p>
    <w:p w:rsidR="00860BE7" w:rsidRPr="00860BE7" w:rsidRDefault="00860BE7" w:rsidP="00860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обычай сложившееся в практике единообразной деятельности государственных органов правило, имеющее устный характер, опирающееся на консенсус участников правоотношения, не прибегающих к судебной защите в случае его нарушения. Природа правового обычая характеризуется следующими особенностями. Он, как правило, носит локальный характер, т.е. применяется в рамках сравнительно небольших общественных групп людей. Юридические обычаи часто тесно связаны с религией. В Индии, например, обычное право, входит в структуру индусского права.</w:t>
      </w:r>
    </w:p>
    <w:p w:rsidR="00860BE7" w:rsidRPr="00860BE7" w:rsidRDefault="00860BE7" w:rsidP="00860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международном праве обычай представляет собой не только форму выражения традиционных норм, но и важный способ создания новых юридических обязательных правил поведения государств, в тех вновь появляющихся областях межгосударственных отношений, которые требуют правового регулирования. Он является современным и активно функционирующим источником права. </w:t>
      </w:r>
    </w:p>
    <w:p w:rsidR="00860BE7" w:rsidRDefault="00860B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60BE7" w:rsidRPr="00860BE7" w:rsidRDefault="00860BE7" w:rsidP="00860BE7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bookmarkStart w:id="6" w:name="_Toc444856062"/>
      <w:r w:rsidRPr="00860BE7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lastRenderedPageBreak/>
        <w:t>Список использованной литературы</w:t>
      </w:r>
      <w:bookmarkEnd w:id="6"/>
    </w:p>
    <w:p w:rsidR="00860BE7" w:rsidRPr="00860BE7" w:rsidRDefault="00860BE7" w:rsidP="00860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BE7" w:rsidRPr="00860BE7" w:rsidRDefault="00860BE7" w:rsidP="00860B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7" w:name="_GoBack"/>
      <w:proofErr w:type="spellStart"/>
      <w:r w:rsidRPr="00860B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Кеченьян</w:t>
      </w:r>
      <w:proofErr w:type="spellEnd"/>
      <w:r w:rsidRPr="00860B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С. Ф. «О понятии источника права»//Ученые записки МГУ. — </w:t>
      </w:r>
      <w:proofErr w:type="spellStart"/>
      <w:r w:rsidRPr="00860B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</w:t>
      </w:r>
      <w:proofErr w:type="spellEnd"/>
      <w:r w:rsidRPr="00860B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16 — Кн.2 — М., 2012. </w:t>
      </w:r>
    </w:p>
    <w:p w:rsidR="00860BE7" w:rsidRPr="00860BE7" w:rsidRDefault="00860BE7" w:rsidP="00860B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0B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Коркунов Н. М. Лекции по общей теории права. — Книга 4. — М. — 2011</w:t>
      </w:r>
    </w:p>
    <w:p w:rsidR="00860BE7" w:rsidRPr="00860BE7" w:rsidRDefault="00860BE7" w:rsidP="00860B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0B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Трубецкой Е. Н. Энциклопедии </w:t>
      </w:r>
      <w:proofErr w:type="gramStart"/>
      <w:r w:rsidRPr="00860B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права.-</w:t>
      </w:r>
      <w:proofErr w:type="gramEnd"/>
      <w:r w:rsidRPr="00860B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СПб. — 2008.</w:t>
      </w:r>
    </w:p>
    <w:p w:rsidR="00860BE7" w:rsidRPr="00860BE7" w:rsidRDefault="00860BE7" w:rsidP="00860B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0B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Хвостов В. М. «Общая теория права. Элементарный очерк» — 2013. </w:t>
      </w:r>
    </w:p>
    <w:p w:rsidR="00860BE7" w:rsidRPr="00860BE7" w:rsidRDefault="00860BE7" w:rsidP="00860B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0B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Сон С. И. «Некоторые проблемы теории источников трудового права РФ» //Вестник </w:t>
      </w:r>
      <w:proofErr w:type="spellStart"/>
      <w:r w:rsidRPr="00860B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ЮурГУ</w:t>
      </w:r>
      <w:proofErr w:type="spellEnd"/>
      <w:r w:rsidRPr="00860B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— № 28–2008.</w:t>
      </w:r>
    </w:p>
    <w:bookmarkEnd w:id="7"/>
    <w:p w:rsidR="00860BE7" w:rsidRPr="00860BE7" w:rsidRDefault="00860BE7" w:rsidP="00860BE7">
      <w:pPr>
        <w:jc w:val="center"/>
        <w:rPr>
          <w:rFonts w:ascii="Times New Roman" w:hAnsi="Times New Roman" w:cs="Times New Roman"/>
          <w:sz w:val="28"/>
        </w:rPr>
      </w:pPr>
    </w:p>
    <w:sectPr w:rsidR="00860BE7" w:rsidRPr="0086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D3AAD"/>
    <w:multiLevelType w:val="hybridMultilevel"/>
    <w:tmpl w:val="9D44C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9B"/>
    <w:rsid w:val="00704E55"/>
    <w:rsid w:val="0073119B"/>
    <w:rsid w:val="00860BE7"/>
    <w:rsid w:val="00C35F32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95C5"/>
  <w15:chartTrackingRefBased/>
  <w15:docId w15:val="{3C15902D-62B3-4707-BF9B-9E3F008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352</Words>
  <Characters>2012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2017-01-30T06:43:00Z</dcterms:created>
  <dcterms:modified xsi:type="dcterms:W3CDTF">2017-02-23T07:06:00Z</dcterms:modified>
</cp:coreProperties>
</file>