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738DC" w:rsidP="000738DC">
      <w:pPr>
        <w:jc w:val="center"/>
        <w:rPr>
          <w:szCs w:val="28"/>
        </w:rPr>
      </w:pPr>
      <w:r>
        <w:rPr>
          <w:szCs w:val="28"/>
        </w:rPr>
        <w:t>Процесс принятия и реализация управленческих решений</w:t>
      </w:r>
    </w:p>
    <w:p w:rsidR="000738DC" w:rsidRDefault="000738DC" w:rsidP="000738DC">
      <w:pPr>
        <w:jc w:val="center"/>
        <w:rPr>
          <w:szCs w:val="28"/>
        </w:rPr>
      </w:pPr>
      <w:r>
        <w:rPr>
          <w:szCs w:val="28"/>
        </w:rPr>
        <w:t>Стр-49</w:t>
      </w:r>
    </w:p>
    <w:p w:rsidR="000738DC" w:rsidRPr="000738DC" w:rsidRDefault="000738DC" w:rsidP="000738DC">
      <w:pPr>
        <w:jc w:val="center"/>
        <w:rPr>
          <w:szCs w:val="28"/>
        </w:rPr>
      </w:pPr>
      <w:r w:rsidRPr="000738DC">
        <w:rPr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67"/>
        <w:gridCol w:w="788"/>
      </w:tblGrid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 xml:space="preserve">Введение 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zCs w:val="28"/>
              </w:rPr>
            </w:pPr>
            <w:r w:rsidRPr="000738DC">
              <w:rPr>
                <w:rFonts w:eastAsia="Times New Roman"/>
                <w:szCs w:val="28"/>
              </w:rPr>
              <w:t>1 Научные основы принятия управленческих решений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zCs w:val="28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</w:rPr>
            </w:pPr>
            <w:r w:rsidRPr="000738DC">
              <w:rPr>
                <w:rFonts w:eastAsia="Times New Roman"/>
                <w:szCs w:val="28"/>
              </w:rPr>
              <w:t>1.1 Управленческие решения и наука управления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</w:rPr>
            </w:pPr>
            <w:r w:rsidRPr="000738DC">
              <w:rPr>
                <w:rFonts w:eastAsia="Times New Roman"/>
                <w:szCs w:val="28"/>
              </w:rPr>
              <w:t>1.2 Природа управленческого решения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</w:rPr>
            </w:pPr>
            <w:r w:rsidRPr="000738DC">
              <w:rPr>
                <w:rFonts w:eastAsia="Times New Roman"/>
                <w:szCs w:val="28"/>
              </w:rPr>
              <w:t>1.3 Классификация управленческих решений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tabs>
                <w:tab w:val="left" w:pos="1229"/>
                <w:tab w:val="left" w:leader="dot" w:pos="8722"/>
              </w:tabs>
              <w:autoSpaceDE w:val="0"/>
              <w:autoSpaceDN w:val="0"/>
              <w:adjustRightInd w:val="0"/>
              <w:spacing w:line="442" w:lineRule="exact"/>
              <w:jc w:val="left"/>
              <w:rPr>
                <w:rFonts w:eastAsia="Times New Roman"/>
                <w:spacing w:val="10"/>
                <w:szCs w:val="28"/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/>
        </w:tc>
        <w:tc>
          <w:tcPr>
            <w:tcW w:w="852" w:type="dxa"/>
            <w:shd w:val="clear" w:color="auto" w:fill="auto"/>
          </w:tcPr>
          <w:p w:rsidR="000738DC" w:rsidRPr="000738DC" w:rsidRDefault="000738DC" w:rsidP="000738DC"/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>2 Содержание и этапы процесса принятия управленческих решений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/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>2.1 Виды и признаки управленческих решений, их классификация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 xml:space="preserve">2.2 Содержание, этапы и характер процесса принятия управленческого решения 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 xml:space="preserve">2.3 Методы, факторы и условия принятия решения 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/>
        </w:tc>
        <w:tc>
          <w:tcPr>
            <w:tcW w:w="852" w:type="dxa"/>
            <w:shd w:val="clear" w:color="auto" w:fill="auto"/>
          </w:tcPr>
          <w:p w:rsidR="000738DC" w:rsidRPr="000738DC" w:rsidRDefault="000738DC" w:rsidP="000738DC"/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>3 Роль руководителя в процессе разработке управленческого решения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/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  <w:r w:rsidRPr="000738DC">
              <w:t>3.1 Предпосылки, определяющие рациональность решения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  <w:r w:rsidRPr="000738DC">
              <w:t>3.2 Ключевая роль руководителя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  <w:r w:rsidRPr="000738DC">
              <w:t>3.3 Поведенческие особенности руководителей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/>
        </w:tc>
        <w:tc>
          <w:tcPr>
            <w:tcW w:w="852" w:type="dxa"/>
            <w:shd w:val="clear" w:color="auto" w:fill="auto"/>
          </w:tcPr>
          <w:p w:rsidR="000738DC" w:rsidRPr="000738DC" w:rsidRDefault="000738DC" w:rsidP="000738DC"/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r w:rsidRPr="000738DC">
              <w:t>Заключение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rPr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keepNext/>
              <w:contextualSpacing/>
              <w:rPr>
                <w:szCs w:val="28"/>
              </w:rPr>
            </w:pPr>
            <w:r w:rsidRPr="000738DC">
              <w:t>Список используемой литературы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keepNext/>
              <w:contextualSpacing/>
              <w:rPr>
                <w:szCs w:val="28"/>
                <w:lang w:val="en-US"/>
              </w:rPr>
            </w:pPr>
          </w:p>
        </w:tc>
      </w:tr>
      <w:tr w:rsidR="000738DC" w:rsidRPr="000738DC" w:rsidTr="003928CF">
        <w:tc>
          <w:tcPr>
            <w:tcW w:w="9285" w:type="dxa"/>
            <w:shd w:val="clear" w:color="auto" w:fill="auto"/>
          </w:tcPr>
          <w:p w:rsidR="000738DC" w:rsidRPr="000738DC" w:rsidRDefault="000738DC" w:rsidP="000738DC">
            <w:pPr>
              <w:keepNext/>
              <w:contextualSpacing/>
            </w:pPr>
            <w:r w:rsidRPr="000738DC">
              <w:t>Приложения</w:t>
            </w:r>
          </w:p>
        </w:tc>
        <w:tc>
          <w:tcPr>
            <w:tcW w:w="852" w:type="dxa"/>
            <w:shd w:val="clear" w:color="auto" w:fill="auto"/>
          </w:tcPr>
          <w:p w:rsidR="000738DC" w:rsidRPr="000738DC" w:rsidRDefault="000738DC" w:rsidP="000738DC">
            <w:pPr>
              <w:keepNext/>
              <w:contextualSpacing/>
              <w:rPr>
                <w:szCs w:val="28"/>
                <w:lang w:val="en-US"/>
              </w:rPr>
            </w:pPr>
          </w:p>
        </w:tc>
      </w:tr>
    </w:tbl>
    <w:p w:rsidR="000738DC" w:rsidRDefault="000738DC" w:rsidP="000738DC">
      <w:pPr>
        <w:jc w:val="left"/>
      </w:pPr>
    </w:p>
    <w:p w:rsidR="000738DC" w:rsidRDefault="000738DC">
      <w:pPr>
        <w:spacing w:after="160" w:line="259" w:lineRule="auto"/>
        <w:jc w:val="left"/>
      </w:pPr>
      <w:r>
        <w:br w:type="page"/>
      </w:r>
    </w:p>
    <w:p w:rsidR="000738DC" w:rsidRPr="00D66BE0" w:rsidRDefault="000738DC" w:rsidP="000738DC">
      <w:pPr>
        <w:keepNext/>
        <w:ind w:firstLine="709"/>
        <w:contextualSpacing/>
        <w:jc w:val="center"/>
        <w:rPr>
          <w:szCs w:val="28"/>
        </w:rPr>
      </w:pPr>
      <w:r w:rsidRPr="00D66BE0">
        <w:rPr>
          <w:szCs w:val="28"/>
        </w:rPr>
        <w:lastRenderedPageBreak/>
        <w:t>Заключение</w:t>
      </w:r>
    </w:p>
    <w:p w:rsidR="000738DC" w:rsidRPr="00D66BE0" w:rsidRDefault="000738DC" w:rsidP="000738DC">
      <w:pPr>
        <w:keepNext/>
        <w:ind w:firstLine="709"/>
        <w:contextualSpacing/>
        <w:rPr>
          <w:szCs w:val="28"/>
        </w:rPr>
      </w:pPr>
    </w:p>
    <w:p w:rsidR="000738DC" w:rsidRPr="00D66BE0" w:rsidRDefault="000738DC" w:rsidP="000738DC">
      <w:pPr>
        <w:keepNext/>
        <w:ind w:firstLine="709"/>
        <w:contextualSpacing/>
        <w:rPr>
          <w:szCs w:val="28"/>
        </w:rPr>
      </w:pPr>
      <w:r w:rsidRPr="00D66BE0">
        <w:rPr>
          <w:szCs w:val="28"/>
        </w:rPr>
        <w:t>Процесс принятия решений является одним из важнейших элементов работы менеджера в любом ее аспекте: планировании, организации, управлении и контроле.</w:t>
      </w:r>
    </w:p>
    <w:p w:rsidR="000738DC" w:rsidRPr="00D66BE0" w:rsidRDefault="000738DC" w:rsidP="000738DC">
      <w:pPr>
        <w:keepNext/>
        <w:ind w:firstLine="709"/>
        <w:contextualSpacing/>
        <w:rPr>
          <w:szCs w:val="28"/>
        </w:rPr>
      </w:pPr>
      <w:r w:rsidRPr="00D66BE0">
        <w:rPr>
          <w:szCs w:val="28"/>
        </w:rPr>
        <w:t>Предполагается, что лицо, принимающее рациональные решения, четко определяет проблему, не имеет конфликта целей, знает все варианты выбора, точно определяет предпочтения, которые не меняются со временем, не имеет временных и стоимостных ограничений и выбирает окончательный вариант, обеспечивающий максимальную отдачу.</w:t>
      </w:r>
    </w:p>
    <w:p w:rsidR="000738DC" w:rsidRDefault="000738DC">
      <w:pPr>
        <w:spacing w:after="160" w:line="259" w:lineRule="auto"/>
        <w:jc w:val="left"/>
      </w:pPr>
      <w:r>
        <w:br w:type="page"/>
      </w:r>
    </w:p>
    <w:p w:rsidR="000738DC" w:rsidRPr="00D66BE0" w:rsidRDefault="000738DC" w:rsidP="000738DC">
      <w:pPr>
        <w:jc w:val="center"/>
        <w:rPr>
          <w:lang w:val="en-US"/>
        </w:rPr>
      </w:pPr>
      <w:r w:rsidRPr="00D66BE0">
        <w:lastRenderedPageBreak/>
        <w:t>Список использованной литературы</w:t>
      </w:r>
    </w:p>
    <w:p w:rsidR="000738DC" w:rsidRPr="00D66BE0" w:rsidRDefault="000738DC" w:rsidP="000738DC">
      <w:pPr>
        <w:ind w:firstLine="720"/>
      </w:pPr>
    </w:p>
    <w:p w:rsidR="000738DC" w:rsidRPr="00D66BE0" w:rsidRDefault="000738DC" w:rsidP="000738DC">
      <w:pPr>
        <w:numPr>
          <w:ilvl w:val="0"/>
          <w:numId w:val="1"/>
        </w:numPr>
        <w:jc w:val="left"/>
        <w:rPr>
          <w:szCs w:val="28"/>
        </w:rPr>
      </w:pPr>
      <w:r w:rsidRPr="00D66BE0">
        <w:rPr>
          <w:szCs w:val="28"/>
        </w:rPr>
        <w:t>Глухов, В. В. Менеджмент: для экономических специальностей / В. В. Глухов. – Санкт-Петербург: Питер Пресс, 2009. – 600 с.</w:t>
      </w:r>
    </w:p>
    <w:p w:rsidR="000738DC" w:rsidRPr="00D66BE0" w:rsidRDefault="000738DC" w:rsidP="000738DC">
      <w:pPr>
        <w:numPr>
          <w:ilvl w:val="0"/>
          <w:numId w:val="1"/>
        </w:numPr>
        <w:jc w:val="left"/>
        <w:rPr>
          <w:szCs w:val="28"/>
        </w:rPr>
      </w:pPr>
      <w:r w:rsidRPr="00D66BE0">
        <w:rPr>
          <w:szCs w:val="28"/>
        </w:rPr>
        <w:t xml:space="preserve">Всеобщая история менеджмента: учебное пособие / [И. И. </w:t>
      </w:r>
      <w:proofErr w:type="spellStart"/>
      <w:r w:rsidRPr="00D66BE0">
        <w:rPr>
          <w:szCs w:val="28"/>
        </w:rPr>
        <w:t>Мазур</w:t>
      </w:r>
      <w:proofErr w:type="spellEnd"/>
      <w:r w:rsidRPr="00D66BE0">
        <w:rPr>
          <w:szCs w:val="28"/>
        </w:rPr>
        <w:t xml:space="preserve"> и др.]. – Москва: </w:t>
      </w:r>
      <w:proofErr w:type="spellStart"/>
      <w:r w:rsidRPr="00D66BE0">
        <w:rPr>
          <w:szCs w:val="28"/>
        </w:rPr>
        <w:t>Елима</w:t>
      </w:r>
      <w:proofErr w:type="spellEnd"/>
      <w:r w:rsidRPr="00D66BE0">
        <w:rPr>
          <w:szCs w:val="28"/>
        </w:rPr>
        <w:t>, 2007. – 776 с.</w:t>
      </w:r>
    </w:p>
    <w:p w:rsidR="000738DC" w:rsidRPr="00D66BE0" w:rsidRDefault="000738DC" w:rsidP="000738DC">
      <w:pPr>
        <w:numPr>
          <w:ilvl w:val="0"/>
          <w:numId w:val="1"/>
        </w:numPr>
        <w:jc w:val="left"/>
        <w:rPr>
          <w:szCs w:val="28"/>
        </w:rPr>
      </w:pPr>
      <w:r w:rsidRPr="00D66BE0">
        <w:rPr>
          <w:szCs w:val="28"/>
        </w:rPr>
        <w:t xml:space="preserve">Коротков, Э. М. </w:t>
      </w:r>
      <w:proofErr w:type="gramStart"/>
      <w:r w:rsidRPr="00D66BE0">
        <w:rPr>
          <w:szCs w:val="28"/>
        </w:rPr>
        <w:t>Менеджмент :</w:t>
      </w:r>
      <w:proofErr w:type="gramEnd"/>
      <w:r w:rsidRPr="00D66BE0">
        <w:rPr>
          <w:szCs w:val="28"/>
        </w:rPr>
        <w:t xml:space="preserve"> учебник для бакалавров / Э. М. Коротков. – </w:t>
      </w:r>
      <w:proofErr w:type="gramStart"/>
      <w:r w:rsidRPr="00D66BE0">
        <w:rPr>
          <w:szCs w:val="28"/>
        </w:rPr>
        <w:t>Москва :</w:t>
      </w:r>
      <w:proofErr w:type="gramEnd"/>
      <w:r w:rsidRPr="00D66BE0">
        <w:rPr>
          <w:szCs w:val="28"/>
        </w:rPr>
        <w:t xml:space="preserve"> </w:t>
      </w:r>
      <w:proofErr w:type="spellStart"/>
      <w:r w:rsidRPr="00D66BE0">
        <w:rPr>
          <w:szCs w:val="28"/>
        </w:rPr>
        <w:t>Юрайт</w:t>
      </w:r>
      <w:proofErr w:type="spellEnd"/>
      <w:r w:rsidRPr="00D66BE0">
        <w:rPr>
          <w:szCs w:val="28"/>
        </w:rPr>
        <w:t xml:space="preserve">, 2012. – 640 с. </w:t>
      </w:r>
    </w:p>
    <w:p w:rsidR="000738DC" w:rsidRPr="00D66BE0" w:rsidRDefault="000738DC" w:rsidP="000738DC">
      <w:pPr>
        <w:numPr>
          <w:ilvl w:val="0"/>
          <w:numId w:val="1"/>
        </w:numPr>
        <w:jc w:val="left"/>
        <w:rPr>
          <w:szCs w:val="28"/>
        </w:rPr>
      </w:pPr>
      <w:r w:rsidRPr="00D66BE0">
        <w:rPr>
          <w:szCs w:val="28"/>
        </w:rPr>
        <w:t xml:space="preserve">Костин, В. А. Менеджмент: учебное пособие / В. А. Костин, Т. В. Костина. – </w:t>
      </w:r>
      <w:proofErr w:type="gramStart"/>
      <w:r w:rsidRPr="00D66BE0">
        <w:rPr>
          <w:szCs w:val="28"/>
        </w:rPr>
        <w:t>Москва :</w:t>
      </w:r>
      <w:proofErr w:type="gramEnd"/>
      <w:r w:rsidRPr="00D66BE0">
        <w:rPr>
          <w:szCs w:val="28"/>
        </w:rPr>
        <w:t xml:space="preserve"> </w:t>
      </w:r>
      <w:proofErr w:type="spellStart"/>
      <w:r w:rsidRPr="00D66BE0">
        <w:rPr>
          <w:szCs w:val="28"/>
        </w:rPr>
        <w:t>Гардарики</w:t>
      </w:r>
      <w:proofErr w:type="spellEnd"/>
      <w:r w:rsidRPr="00D66BE0">
        <w:rPr>
          <w:szCs w:val="28"/>
        </w:rPr>
        <w:t>, 2008. – 334 с.</w:t>
      </w:r>
    </w:p>
    <w:p w:rsidR="000738DC" w:rsidRPr="00D66BE0" w:rsidRDefault="000738DC" w:rsidP="000738DC">
      <w:pPr>
        <w:numPr>
          <w:ilvl w:val="0"/>
          <w:numId w:val="1"/>
        </w:numPr>
        <w:jc w:val="left"/>
        <w:rPr>
          <w:szCs w:val="28"/>
        </w:rPr>
      </w:pPr>
      <w:r w:rsidRPr="00D66BE0">
        <w:rPr>
          <w:szCs w:val="28"/>
        </w:rPr>
        <w:t xml:space="preserve">Гончаров, В. И. Менеджмент: учебное пособие / В. И. Гончаров. – </w:t>
      </w:r>
      <w:proofErr w:type="gramStart"/>
      <w:r w:rsidRPr="00D66BE0">
        <w:rPr>
          <w:szCs w:val="28"/>
        </w:rPr>
        <w:t>Минск :</w:t>
      </w:r>
      <w:proofErr w:type="gramEnd"/>
      <w:r w:rsidRPr="00D66BE0">
        <w:rPr>
          <w:szCs w:val="28"/>
        </w:rPr>
        <w:t xml:space="preserve"> Современная школа, 2010. – 635 с.</w:t>
      </w:r>
    </w:p>
    <w:p w:rsidR="000738DC" w:rsidRDefault="000738DC" w:rsidP="000738DC">
      <w:pPr>
        <w:jc w:val="left"/>
      </w:pPr>
      <w:bookmarkStart w:id="0" w:name="_GoBack"/>
      <w:bookmarkEnd w:id="0"/>
    </w:p>
    <w:sectPr w:rsidR="0007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F88"/>
    <w:multiLevelType w:val="hybridMultilevel"/>
    <w:tmpl w:val="965A8E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DA"/>
    <w:rsid w:val="000738DC"/>
    <w:rsid w:val="000843DA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6D75"/>
  <w15:chartTrackingRefBased/>
  <w15:docId w15:val="{BCCC7EAD-89D4-4E77-90EB-BB85222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DC"/>
    <w:pPr>
      <w:spacing w:after="0" w:line="36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2017-01-19T10:18:00Z</dcterms:created>
  <dcterms:modified xsi:type="dcterms:W3CDTF">2017-01-19T10:20:00Z</dcterms:modified>
</cp:coreProperties>
</file>