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86E5A" w:rsidP="00886E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6E5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886E5A">
        <w:rPr>
          <w:rFonts w:ascii="Times New Roman" w:hAnsi="Times New Roman" w:cs="Times New Roman"/>
          <w:sz w:val="28"/>
          <w:szCs w:val="28"/>
        </w:rPr>
        <w:t>-</w:t>
      </w:r>
      <w:r w:rsidRPr="00886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E5A">
        <w:rPr>
          <w:rFonts w:ascii="Times New Roman" w:hAnsi="Times New Roman" w:cs="Times New Roman"/>
          <w:bCs/>
          <w:sz w:val="28"/>
          <w:szCs w:val="28"/>
        </w:rPr>
        <w:t>Способы, приемы и методы экономического анализа</w:t>
      </w:r>
    </w:p>
    <w:p w:rsidR="00886E5A" w:rsidRDefault="00886E5A" w:rsidP="00886E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Стр-31</w:t>
      </w:r>
    </w:p>
    <w:p w:rsidR="00886E5A" w:rsidRPr="00886E5A" w:rsidRDefault="00886E5A" w:rsidP="00886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</w:t>
      </w:r>
    </w:p>
    <w:p w:rsidR="00886E5A" w:rsidRPr="00886E5A" w:rsidRDefault="00886E5A" w:rsidP="00886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6E5A" w:rsidRPr="00886E5A" w:rsidRDefault="00886E5A" w:rsidP="00886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886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TOC \o "1-2" \h \z </w:instrText>
      </w:r>
      <w:r w:rsidRPr="00886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hyperlink w:anchor="_Toc436653867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Введение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68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1 Теоретическая часть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ind w:left="240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69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 xml:space="preserve">1.1 </w:t>
        </w:r>
        <w:r w:rsidRPr="00886E5A">
          <w:rPr>
            <w:rFonts w:ascii="Times New Roman CYR" w:eastAsia="Times New Roman" w:hAnsi="Times New Roman CYR" w:cs="Times New Roman CYR"/>
            <w:noProof/>
            <w:color w:val="000000" w:themeColor="text1"/>
            <w:sz w:val="28"/>
            <w:szCs w:val="28"/>
            <w:lang w:eastAsia="ru-RU"/>
          </w:rPr>
          <w:t>Методы и приемы анализа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ind w:left="240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70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 xml:space="preserve">1.2 </w:t>
        </w:r>
        <w:r w:rsidRPr="00886E5A">
          <w:rPr>
            <w:rFonts w:ascii="Times New Roman CYR" w:eastAsia="Times New Roman" w:hAnsi="Times New Roman CYR" w:cs="Times New Roman CYR"/>
            <w:noProof/>
            <w:color w:val="000000" w:themeColor="text1"/>
            <w:sz w:val="28"/>
            <w:szCs w:val="28"/>
            <w:lang w:eastAsia="ru-RU"/>
          </w:rPr>
          <w:t>Способы измерения влияния факторов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ind w:left="240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71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 xml:space="preserve">1.3 </w:t>
        </w:r>
        <w:r w:rsidRPr="00886E5A">
          <w:rPr>
            <w:rFonts w:ascii="Times New Roman CYR" w:eastAsia="Times New Roman" w:hAnsi="Times New Roman CYR" w:cs="Times New Roman CYR"/>
            <w:noProof/>
            <w:color w:val="000000" w:themeColor="text1"/>
            <w:sz w:val="28"/>
            <w:szCs w:val="28"/>
            <w:lang w:eastAsia="ru-RU"/>
          </w:rPr>
          <w:t>Способы приведения показателей в сопоставимый вид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72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2 Практическая часть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73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Заключение</w:t>
        </w:r>
      </w:hyperlink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hyperlink w:anchor="_Toc436653874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Список использованной литературы</w:t>
        </w:r>
      </w:hyperlink>
    </w:p>
    <w:p w:rsidR="00886E5A" w:rsidRDefault="00886E5A" w:rsidP="00886E5A">
      <w:pPr>
        <w:tabs>
          <w:tab w:val="right" w:leader="dot" w:pos="934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36653875" w:history="1">
        <w:r w:rsidRPr="00886E5A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Приложения</w:t>
        </w:r>
      </w:hyperlink>
    </w:p>
    <w:p w:rsidR="00886E5A" w:rsidRDefault="00886E5A">
      <w:pP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:rsidR="00886E5A" w:rsidRPr="00886E5A" w:rsidRDefault="00886E5A" w:rsidP="00886E5A">
      <w:pPr>
        <w:keepNext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0" w:name="_Toc436653873"/>
      <w:r w:rsidRPr="00886E5A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Заключение</w:t>
      </w:r>
      <w:bookmarkEnd w:id="0"/>
    </w:p>
    <w:p w:rsidR="00886E5A" w:rsidRPr="00886E5A" w:rsidRDefault="00886E5A" w:rsidP="0088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5A" w:rsidRPr="00886E5A" w:rsidRDefault="00886E5A" w:rsidP="00886E5A">
      <w:pPr>
        <w:widowControl w:val="0"/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  <w:r w:rsidRPr="00886E5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 xml:space="preserve">В результате исследования </w:t>
      </w:r>
      <w:proofErr w:type="gramStart"/>
      <w:r w:rsidRPr="00886E5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>темы  курсовой</w:t>
      </w:r>
      <w:proofErr w:type="gramEnd"/>
      <w:r w:rsidRPr="00886E5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 xml:space="preserve"> работы можно сделать следующие выводы:</w:t>
      </w:r>
    </w:p>
    <w:p w:rsidR="00886E5A" w:rsidRPr="00886E5A" w:rsidRDefault="00886E5A" w:rsidP="00886E5A">
      <w:pPr>
        <w:widowControl w:val="0"/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  <w:r w:rsidRPr="00886E5A"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t>1. Способы и приемы экономического анализа можно условно подразделить на две группы: традиционные и математические. К первой относятся такие способы и приемы, которые находили применение почти с момента возникновения экономического анализа как обособленной отрасли специальных знаний, как самостоятельного учебного курса. Многие математические способы и приемы вошли в круг аналитических разработок значительно позже, когда был налажен выпуск быстродействующих ЭВМ. В число основных традиционных способов и приемов экономического анализа можно включить использование абсолютных, относительных и средних величин; применение сравнения, группировки, индексного метода, метода цепных подстановок, балансового метода.</w:t>
      </w:r>
    </w:p>
    <w:p w:rsidR="00886E5A" w:rsidRDefault="00886E5A">
      <w:pPr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:rsidR="00886E5A" w:rsidRPr="00886E5A" w:rsidRDefault="00886E5A" w:rsidP="00886E5A">
      <w:pPr>
        <w:keepNext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1" w:name="_Toc436653874"/>
      <w:r w:rsidRPr="00886E5A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1"/>
    </w:p>
    <w:p w:rsidR="00886E5A" w:rsidRPr="00886E5A" w:rsidRDefault="00886E5A" w:rsidP="00886E5A">
      <w:pPr>
        <w:widowControl w:val="0"/>
        <w:tabs>
          <w:tab w:val="left" w:pos="672"/>
        </w:tabs>
        <w:spacing w:after="0" w:line="240" w:lineRule="auto"/>
        <w:ind w:left="1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5A" w:rsidRPr="00886E5A" w:rsidRDefault="00886E5A" w:rsidP="00886E5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-23" w:firstLine="59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экономический анализ хозяйственной деятельности: учебное пособие / А.И. Алексеева, и др. – М.: Финансы и статистика, 2010. - 672с. </w:t>
      </w:r>
    </w:p>
    <w:p w:rsidR="00886E5A" w:rsidRPr="00886E5A" w:rsidRDefault="00886E5A" w:rsidP="00886E5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-23" w:firstLine="5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Жуйриков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Баяхметов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Экономический анализ предприятия, Учебник. Алматы, 2009. - 198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E5A" w:rsidRPr="00886E5A" w:rsidRDefault="00886E5A" w:rsidP="00886E5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-23" w:firstLine="5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Тусу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e-ZA" w:eastAsia="ru-RU"/>
        </w:rPr>
        <w:t>ᴨ</w:t>
      </w:r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беков Т., </w:t>
      </w:r>
      <w:proofErr w:type="spellStart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Тенизбаева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Экономика </w:t>
      </w:r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e-ZA" w:eastAsia="ru-RU"/>
        </w:rPr>
        <w:t>ᴨ</w:t>
      </w:r>
      <w:proofErr w:type="spellStart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редприятия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</w:t>
      </w:r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e-ZA" w:eastAsia="ru-RU"/>
        </w:rPr>
        <w:t>ᴨ</w:t>
      </w:r>
      <w:proofErr w:type="spellStart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рактикум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): Учебное пособие. - Астана: Фолиант, 2010. - 208 с.</w:t>
      </w:r>
    </w:p>
    <w:p w:rsidR="00886E5A" w:rsidRPr="00886E5A" w:rsidRDefault="00886E5A" w:rsidP="00886E5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-23" w:firstLine="5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Мелешенко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Экономика </w:t>
      </w:r>
      <w:proofErr w:type="gram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предприятия.-</w:t>
      </w:r>
      <w:proofErr w:type="gram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Астана, 2008-221с.</w:t>
      </w:r>
    </w:p>
    <w:p w:rsidR="00886E5A" w:rsidRPr="00886E5A" w:rsidRDefault="00886E5A" w:rsidP="00886E5A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-23" w:firstLine="5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Калдыбаев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</w:t>
      </w:r>
      <w:proofErr w:type="spell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Темирбаев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Экономика предприятия (фирмы). – Учебное пособие. - Алматы, «</w:t>
      </w:r>
      <w:proofErr w:type="spell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</w:t>
      </w:r>
      <w:proofErr w:type="spell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 w:rsidRPr="0088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208с.</w:t>
      </w:r>
    </w:p>
    <w:p w:rsidR="00886E5A" w:rsidRPr="00886E5A" w:rsidRDefault="00886E5A" w:rsidP="00886E5A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886E5A" w:rsidRPr="00886E5A" w:rsidRDefault="00886E5A" w:rsidP="00886E5A">
      <w:pPr>
        <w:rPr>
          <w:rFonts w:ascii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</w:p>
    <w:sectPr w:rsidR="00886E5A" w:rsidRPr="008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DDE"/>
    <w:multiLevelType w:val="hybridMultilevel"/>
    <w:tmpl w:val="63B4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B"/>
    <w:rsid w:val="00704E55"/>
    <w:rsid w:val="00886E5A"/>
    <w:rsid w:val="00B650D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C184"/>
  <w15:chartTrackingRefBased/>
  <w15:docId w15:val="{CF1CE3A5-C987-47F9-A028-0BB26961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2017-01-31T08:13:00Z</dcterms:created>
  <dcterms:modified xsi:type="dcterms:W3CDTF">2017-01-31T08:17:00Z</dcterms:modified>
</cp:coreProperties>
</file>