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69" w:rsidRDefault="008273B7" w:rsidP="0082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3B7">
        <w:rPr>
          <w:rFonts w:ascii="Times New Roman" w:hAnsi="Times New Roman" w:cs="Times New Roman"/>
          <w:sz w:val="28"/>
          <w:szCs w:val="28"/>
        </w:rPr>
        <w:t>Кр_Аудит расчётов с поставщиками и подрядчиками</w:t>
      </w:r>
    </w:p>
    <w:p w:rsidR="008273B7" w:rsidRDefault="008273B7" w:rsidP="00827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</w:t>
      </w:r>
    </w:p>
    <w:p w:rsidR="008273B7" w:rsidRDefault="008273B7" w:rsidP="00827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Стр_36</w:t>
      </w:r>
    </w:p>
    <w:p w:rsidR="008273B7" w:rsidRPr="009D3CA6" w:rsidRDefault="008273B7" w:rsidP="008273B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r w:rsidRPr="009D3CA6">
        <w:rPr>
          <w:rFonts w:asciiTheme="majorBidi" w:hAnsiTheme="majorBidi"/>
          <w:sz w:val="28"/>
          <w:szCs w:val="28"/>
        </w:rPr>
        <w:fldChar w:fldCharType="begin"/>
      </w:r>
      <w:r w:rsidRPr="009D3CA6">
        <w:rPr>
          <w:rFonts w:asciiTheme="majorBidi" w:hAnsiTheme="majorBidi"/>
          <w:sz w:val="28"/>
          <w:szCs w:val="28"/>
        </w:rPr>
        <w:instrText xml:space="preserve"> TOC \o "1-3" \h \z \u </w:instrText>
      </w:r>
      <w:r w:rsidRPr="009D3CA6">
        <w:rPr>
          <w:rFonts w:asciiTheme="majorBidi" w:hAnsiTheme="majorBidi"/>
          <w:sz w:val="28"/>
          <w:szCs w:val="28"/>
        </w:rPr>
        <w:fldChar w:fldCharType="separate"/>
      </w:r>
      <w:hyperlink w:anchor="_Toc44017546" w:history="1"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>ВВЕДЕНИЕ</w:t>
        </w:r>
      </w:hyperlink>
    </w:p>
    <w:p w:rsidR="008273B7" w:rsidRPr="009D3CA6" w:rsidRDefault="008273B7" w:rsidP="008273B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4017547" w:history="1"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>1 ТЕОРЕТИЧЕСКИЕ АСПЕКТЫ АУДИТА РАСЧЕТОВ С ПОСТАВЩИКАМИ И ПОДРЯДЧИКАМИ</w:t>
        </w:r>
      </w:hyperlink>
    </w:p>
    <w:p w:rsidR="008273B7" w:rsidRPr="009D3CA6" w:rsidRDefault="008273B7" w:rsidP="008273B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4017548" w:history="1"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>1.1 Понятие и виды расчетов с поставщиками и подрядчиками</w:t>
        </w:r>
      </w:hyperlink>
    </w:p>
    <w:p w:rsidR="008273B7" w:rsidRPr="009D3CA6" w:rsidRDefault="008273B7" w:rsidP="008273B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4017549" w:history="1"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>1.2 Методология проведения аудита расчетов с поставщиками и подрядчиками</w:t>
        </w:r>
      </w:hyperlink>
    </w:p>
    <w:p w:rsidR="008273B7" w:rsidRPr="009D3CA6" w:rsidRDefault="008273B7" w:rsidP="008273B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4017550" w:history="1"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 xml:space="preserve">2. АНАЛИЗ ПРАКТИЧЕСКИХ АСПЕКТОВ ПРОВЕДЕНИЯ АУДИТА РАСЧЕТОВ С ПОСТАВЩИКАМИ И ПОДРЯДЧИКАМИ </w:t>
        </w:r>
      </w:hyperlink>
    </w:p>
    <w:p w:rsidR="008273B7" w:rsidRPr="009D3CA6" w:rsidRDefault="008273B7" w:rsidP="008273B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4017551" w:history="1"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>2.1 Краткая характеристика деятельности предприятия и анализ технико-экономических показателей за 2018-2019 годы</w:t>
        </w:r>
      </w:hyperlink>
    </w:p>
    <w:p w:rsidR="008273B7" w:rsidRPr="009D3CA6" w:rsidRDefault="008273B7" w:rsidP="008273B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4017552" w:history="1"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>2.2 Оценка системы внутреннего контроля расчетов, определение уровня существенности и  аудиторского риска</w:t>
        </w:r>
      </w:hyperlink>
    </w:p>
    <w:p w:rsidR="008273B7" w:rsidRPr="009D3CA6" w:rsidRDefault="008273B7" w:rsidP="008273B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4017553" w:history="1"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 xml:space="preserve">2.3 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>План и п</w:t>
        </w:r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>рограмма аудиторской проверки расчетов с поставщиками и подрядчиками</w:t>
        </w:r>
      </w:hyperlink>
    </w:p>
    <w:p w:rsidR="008273B7" w:rsidRPr="009D3CA6" w:rsidRDefault="008273B7" w:rsidP="008273B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4017554" w:history="1"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>2.4 Процедуры по существу и их документирование</w:t>
        </w:r>
      </w:hyperlink>
    </w:p>
    <w:p w:rsidR="008273B7" w:rsidRPr="009D3CA6" w:rsidRDefault="008273B7" w:rsidP="008273B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4017555" w:history="1"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>2.5 Аудиторский отчет</w:t>
        </w:r>
      </w:hyperlink>
    </w:p>
    <w:p w:rsidR="008273B7" w:rsidRPr="009D3CA6" w:rsidRDefault="008273B7" w:rsidP="008273B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4017556" w:history="1"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>ЗАКЛЮЧЕНИЕ</w:t>
        </w:r>
      </w:hyperlink>
    </w:p>
    <w:p w:rsidR="008273B7" w:rsidRPr="009D3CA6" w:rsidRDefault="008273B7" w:rsidP="008273B7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44017557" w:history="1">
        <w:r w:rsidRPr="009D3CA6">
          <w:rPr>
            <w:rStyle w:val="a3"/>
            <w:rFonts w:asciiTheme="majorBidi" w:hAnsiTheme="majorBidi"/>
            <w:noProof/>
            <w:sz w:val="28"/>
            <w:szCs w:val="28"/>
          </w:rPr>
          <w:t>СПИСОК ИСПОЛЬЗОВАННОЙ ЛИТЕРАТУРЫ</w:t>
        </w:r>
      </w:hyperlink>
    </w:p>
    <w:p w:rsidR="008273B7" w:rsidRPr="002B2DA2" w:rsidRDefault="008273B7" w:rsidP="008273B7">
      <w:pPr>
        <w:pStyle w:val="1"/>
        <w:spacing w:before="0"/>
        <w:jc w:val="both"/>
        <w:rPr>
          <w:rFonts w:asciiTheme="majorBidi" w:hAnsiTheme="majorBidi"/>
          <w:b/>
          <w:bCs/>
          <w:color w:val="auto"/>
          <w:sz w:val="28"/>
          <w:szCs w:val="28"/>
        </w:rPr>
      </w:pPr>
      <w:r w:rsidRPr="009D3CA6">
        <w:rPr>
          <w:rFonts w:asciiTheme="majorBidi" w:hAnsiTheme="majorBidi"/>
          <w:color w:val="auto"/>
          <w:sz w:val="28"/>
          <w:szCs w:val="28"/>
        </w:rPr>
        <w:fldChar w:fldCharType="end"/>
      </w:r>
    </w:p>
    <w:p w:rsidR="008273B7" w:rsidRDefault="008273B7">
      <w:pPr>
        <w:rPr>
          <w:rFonts w:asciiTheme="majorBidi" w:hAnsiTheme="majorBidi"/>
          <w:b/>
          <w:bCs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3563" wp14:editId="78E3E09E">
                <wp:simplePos x="0" y="0"/>
                <wp:positionH relativeFrom="column">
                  <wp:posOffset>5486400</wp:posOffset>
                </wp:positionH>
                <wp:positionV relativeFrom="paragraph">
                  <wp:posOffset>8050835</wp:posOffset>
                </wp:positionV>
                <wp:extent cx="1163782" cy="688769"/>
                <wp:effectExtent l="0" t="0" r="1778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688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9A243" id="Прямоугольник 5" o:spid="_x0000_s1026" style="position:absolute;margin-left:6in;margin-top:633.9pt;width:91.65pt;height: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" fillcolor="white [3212]" strokecolor="white [3212]" strokeweight="1pt"/>
            </w:pict>
          </mc:Fallback>
        </mc:AlternateContent>
      </w:r>
      <w:r>
        <w:rPr>
          <w:rFonts w:asciiTheme="majorBidi" w:hAnsiTheme="majorBidi"/>
          <w:b/>
          <w:bCs/>
          <w:sz w:val="28"/>
          <w:szCs w:val="28"/>
        </w:rPr>
        <w:br w:type="page"/>
      </w:r>
      <w:r>
        <w:rPr>
          <w:rFonts w:asciiTheme="majorBidi" w:hAnsiTheme="majorBidi"/>
          <w:b/>
          <w:bCs/>
          <w:sz w:val="28"/>
          <w:szCs w:val="28"/>
        </w:rPr>
        <w:lastRenderedPageBreak/>
        <w:br w:type="page"/>
      </w:r>
    </w:p>
    <w:p w:rsidR="008273B7" w:rsidRPr="008273B7" w:rsidRDefault="008273B7" w:rsidP="008273B7">
      <w:pPr>
        <w:spacing w:line="24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 w:rsidRPr="008273B7">
        <w:rPr>
          <w:rFonts w:asciiTheme="majorBidi" w:hAnsiTheme="majorBidi"/>
          <w:b/>
          <w:bCs/>
          <w:sz w:val="28"/>
          <w:szCs w:val="28"/>
        </w:rPr>
        <w:lastRenderedPageBreak/>
        <w:br w:type="page"/>
      </w:r>
    </w:p>
    <w:p w:rsidR="008273B7" w:rsidRPr="008273B7" w:rsidRDefault="008273B7" w:rsidP="008273B7">
      <w:pPr>
        <w:keepNext/>
        <w:keepLines/>
        <w:spacing w:after="0" w:line="240" w:lineRule="auto"/>
        <w:ind w:firstLine="709"/>
        <w:jc w:val="both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0" w:name="_Toc44017556"/>
      <w:r w:rsidRPr="008273B7">
        <w:rPr>
          <w:rFonts w:asciiTheme="majorBidi" w:eastAsiaTheme="majorEastAsia" w:hAnsiTheme="majorBidi" w:cstheme="majorBidi"/>
          <w:b/>
          <w:bCs/>
          <w:sz w:val="28"/>
          <w:szCs w:val="28"/>
        </w:rPr>
        <w:lastRenderedPageBreak/>
        <w:t>ЗАКЛЮЧЕНИЕ</w:t>
      </w:r>
      <w:bookmarkEnd w:id="0"/>
    </w:p>
    <w:p w:rsidR="008273B7" w:rsidRPr="008273B7" w:rsidRDefault="008273B7" w:rsidP="008273B7">
      <w:pPr>
        <w:spacing w:after="0" w:line="240" w:lineRule="auto"/>
        <w:rPr>
          <w:rFonts w:ascii="Times New Roman" w:hAnsi="Times New Roman"/>
        </w:rPr>
      </w:pPr>
    </w:p>
    <w:p w:rsidR="008273B7" w:rsidRPr="008273B7" w:rsidRDefault="008273B7" w:rsidP="008273B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3B7">
        <w:rPr>
          <w:rFonts w:ascii="Times New Roman" w:eastAsia="Calibri" w:hAnsi="Times New Roman" w:cs="Times New Roman"/>
          <w:sz w:val="28"/>
          <w:szCs w:val="28"/>
        </w:rPr>
        <w:t xml:space="preserve">Проведенное в курсовой работе исследование позволило сделать следующие выводы. </w:t>
      </w:r>
    </w:p>
    <w:p w:rsidR="008273B7" w:rsidRPr="008273B7" w:rsidRDefault="008273B7" w:rsidP="008273B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3B7">
        <w:rPr>
          <w:rFonts w:ascii="Times New Roman" w:eastAsia="Calibri" w:hAnsi="Times New Roman" w:cs="Times New Roman"/>
          <w:sz w:val="28"/>
          <w:szCs w:val="28"/>
        </w:rPr>
        <w:t xml:space="preserve">Аудиторская проверка расчётов с поставщиками и подрядчиками является важным элементом в системе внутрихозяйственного контроля предприятия. Своевременно проведенный внутренний аудит обеспечивает формирование полной и достоверной информации о состоянии расчётов с поставщиками и подрядчиками за полученные товарные и материальные запасы, выполненные работы и оказанные услуги, необходимой внутренним и внешним пользователям бухгалтерской отчетности для управления и развития предприятия. </w:t>
      </w:r>
    </w:p>
    <w:p w:rsidR="008273B7" w:rsidRPr="008273B7" w:rsidRDefault="008273B7" w:rsidP="008273B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3B7">
        <w:rPr>
          <w:rFonts w:ascii="Times New Roman" w:eastAsia="Calibri" w:hAnsi="Times New Roman" w:cs="Times New Roman"/>
          <w:sz w:val="28"/>
          <w:szCs w:val="28"/>
        </w:rPr>
        <w:t>Цель аудита расчетов с поставщиками и подрядчиками – выражение мнения о соответствии операций по учету расчетов с поставщиками и подрядчиками действующему законодательству Республики Казахстан, а также о достоверности отражения данных операций в отчетности.</w:t>
      </w:r>
    </w:p>
    <w:p w:rsidR="008273B7" w:rsidRDefault="008273B7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ajorEastAsia" w:hAnsiTheme="majorBidi" w:cstheme="majorBidi"/>
          <w:b/>
          <w:bCs/>
          <w:sz w:val="28"/>
          <w:szCs w:val="28"/>
        </w:rPr>
        <w:br w:type="page"/>
      </w:r>
    </w:p>
    <w:p w:rsidR="008273B7" w:rsidRPr="008273B7" w:rsidRDefault="008273B7" w:rsidP="008273B7">
      <w:pPr>
        <w:keepNext/>
        <w:keepLines/>
        <w:spacing w:after="0" w:line="240" w:lineRule="auto"/>
        <w:ind w:firstLine="709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1" w:name="_Toc44017557"/>
      <w:r w:rsidRPr="008273B7">
        <w:rPr>
          <w:rFonts w:asciiTheme="majorBidi" w:eastAsiaTheme="majorEastAsia" w:hAnsiTheme="majorBidi" w:cstheme="majorBidi"/>
          <w:b/>
          <w:bCs/>
          <w:sz w:val="28"/>
          <w:szCs w:val="28"/>
        </w:rPr>
        <w:lastRenderedPageBreak/>
        <w:t>СПИСОК ИСПОЛЬЗОВАННОЙ ЛИТЕРАТУРЫ</w:t>
      </w:r>
      <w:bookmarkEnd w:id="1"/>
    </w:p>
    <w:p w:rsidR="008273B7" w:rsidRPr="008273B7" w:rsidRDefault="008273B7" w:rsidP="008273B7">
      <w:pPr>
        <w:spacing w:after="0" w:line="240" w:lineRule="auto"/>
        <w:rPr>
          <w:rFonts w:ascii="Times New Roman" w:hAnsi="Times New Roman"/>
        </w:rPr>
      </w:pPr>
    </w:p>
    <w:p w:rsidR="008273B7" w:rsidRPr="008273B7" w:rsidRDefault="008273B7" w:rsidP="008273B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 В.В. Финансовый анализ: методы и </w:t>
      </w:r>
      <w:proofErr w:type="gramStart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процедуры..</w:t>
      </w:r>
      <w:proofErr w:type="gramEnd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Финансы и статистика, 2018. – 560с.</w:t>
      </w:r>
    </w:p>
    <w:p w:rsidR="008273B7" w:rsidRPr="008273B7" w:rsidRDefault="008273B7" w:rsidP="008273B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Кондраков Н.П. Бухгалтерский учет. Учебное пособие. - М.: Инфра-М, 2015. – 635 с. </w:t>
      </w:r>
    </w:p>
    <w:p w:rsidR="008273B7" w:rsidRPr="008273B7" w:rsidRDefault="008273B7" w:rsidP="008273B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</w:t>
      </w:r>
      <w:proofErr w:type="spellEnd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Оценка влияния дебиторской задолженности на формирование финансовых результатов </w:t>
      </w:r>
      <w:proofErr w:type="gramStart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предприятия./</w:t>
      </w:r>
      <w:proofErr w:type="gramEnd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Финансовый менеджмент. – </w:t>
      </w:r>
      <w:proofErr w:type="gramStart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>2017.-</w:t>
      </w:r>
      <w:proofErr w:type="gramEnd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№4.- с. 37-42.</w:t>
      </w:r>
    </w:p>
    <w:p w:rsidR="008273B7" w:rsidRPr="008273B7" w:rsidRDefault="008273B7" w:rsidP="008273B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Ржаницына</w:t>
      </w:r>
      <w:proofErr w:type="spellEnd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Учет задолженности: оценка, признание и </w:t>
      </w:r>
      <w:proofErr w:type="gramStart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погашение./</w:t>
      </w:r>
      <w:proofErr w:type="gramEnd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>/ Бухгалтерский учет.- 2017.- №17.- с. 8-16.</w:t>
      </w:r>
    </w:p>
    <w:p w:rsidR="008273B7" w:rsidRPr="008273B7" w:rsidRDefault="008273B7" w:rsidP="008273B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Дюсембаев</w:t>
      </w:r>
      <w:proofErr w:type="spellEnd"/>
      <w:r w:rsidRPr="0082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К.Ш. Аудит и анализ в системе управления финансами, Алматы, «Экономика», 2007. – 540 с.</w:t>
      </w:r>
    </w:p>
    <w:p w:rsidR="008273B7" w:rsidRDefault="008273B7" w:rsidP="008273B7">
      <w:pPr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2" w:name="_GoBack"/>
      <w:bookmarkEnd w:id="2"/>
    </w:p>
    <w:p w:rsidR="008273B7" w:rsidRPr="008273B7" w:rsidRDefault="008273B7" w:rsidP="008273B7">
      <w:pPr>
        <w:rPr>
          <w:rFonts w:ascii="Times New Roman" w:hAnsi="Times New Roman" w:cs="Times New Roman"/>
          <w:sz w:val="28"/>
          <w:szCs w:val="28"/>
        </w:rPr>
      </w:pPr>
    </w:p>
    <w:sectPr w:rsidR="008273B7" w:rsidRPr="0082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53A41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2"/>
    <w:rsid w:val="006C7362"/>
    <w:rsid w:val="008273B7"/>
    <w:rsid w:val="0094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63E9"/>
  <w15:chartTrackingRefBased/>
  <w15:docId w15:val="{6932A872-EAD1-41D3-8949-9594A16B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3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3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273B7"/>
    <w:pPr>
      <w:spacing w:after="100" w:line="240" w:lineRule="auto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827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2020-11-09T08:05:00Z</dcterms:created>
  <dcterms:modified xsi:type="dcterms:W3CDTF">2020-11-09T08:07:00Z</dcterms:modified>
</cp:coreProperties>
</file>